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7C9" w:rsidRPr="004B7699" w:rsidRDefault="002763FB">
      <w:pPr>
        <w:spacing w:after="60" w:line="276" w:lineRule="auto"/>
        <w:ind w:left="4200"/>
        <w:jc w:val="right"/>
        <w:rPr>
          <w:color w:val="auto"/>
        </w:rPr>
      </w:pPr>
      <w:r w:rsidRPr="004B7699">
        <w:rPr>
          <w:b/>
          <w:bCs/>
          <w:color w:val="auto"/>
          <w:sz w:val="22"/>
          <w:szCs w:val="22"/>
        </w:rPr>
        <w:t>В Арбитражный суд [субъекта РФ]</w:t>
      </w:r>
    </w:p>
    <w:p w:rsidR="004D27C9" w:rsidRPr="004B7699" w:rsidRDefault="002763FB">
      <w:pPr>
        <w:spacing w:after="60" w:line="276" w:lineRule="auto"/>
        <w:ind w:left="4200"/>
        <w:jc w:val="right"/>
        <w:rPr>
          <w:color w:val="auto"/>
        </w:rPr>
      </w:pPr>
      <w:r w:rsidRPr="004B7699">
        <w:rPr>
          <w:b/>
          <w:bCs/>
          <w:color w:val="auto"/>
          <w:sz w:val="22"/>
          <w:szCs w:val="22"/>
        </w:rPr>
        <w:t>Истец:</w:t>
      </w:r>
      <w:r w:rsidRPr="004B7699">
        <w:rPr>
          <w:color w:val="auto"/>
          <w:sz w:val="22"/>
          <w:szCs w:val="22"/>
        </w:rPr>
        <w:t xml:space="preserve"> [наименование Арендодателя]</w:t>
      </w:r>
    </w:p>
    <w:p w:rsidR="004D27C9" w:rsidRPr="004B7699" w:rsidRDefault="002763FB">
      <w:pPr>
        <w:spacing w:after="60" w:line="276" w:lineRule="auto"/>
        <w:ind w:left="4200"/>
        <w:jc w:val="right"/>
        <w:rPr>
          <w:color w:val="auto"/>
        </w:rPr>
      </w:pPr>
      <w:r w:rsidRPr="004B7699">
        <w:rPr>
          <w:b/>
          <w:bCs/>
          <w:color w:val="auto"/>
          <w:sz w:val="22"/>
          <w:szCs w:val="22"/>
        </w:rPr>
        <w:t>Ответчик:</w:t>
      </w:r>
      <w:r w:rsidRPr="004B7699">
        <w:rPr>
          <w:color w:val="auto"/>
          <w:sz w:val="22"/>
          <w:szCs w:val="22"/>
        </w:rPr>
        <w:t xml:space="preserve"> [наименование Арендатора]</w:t>
      </w:r>
    </w:p>
    <w:p w:rsidR="004D27C9" w:rsidRPr="004B7699" w:rsidRDefault="002763FB">
      <w:pPr>
        <w:spacing w:after="60" w:line="276" w:lineRule="auto"/>
        <w:ind w:left="4200"/>
        <w:jc w:val="right"/>
        <w:rPr>
          <w:color w:val="auto"/>
        </w:rPr>
      </w:pPr>
      <w:r w:rsidRPr="004B7699">
        <w:rPr>
          <w:color w:val="auto"/>
          <w:sz w:val="22"/>
          <w:szCs w:val="22"/>
        </w:rPr>
        <w:t>Дело № [номер]</w:t>
      </w:r>
    </w:p>
    <w:p w:rsidR="004D27C9" w:rsidRPr="004B7699" w:rsidRDefault="002763FB">
      <w:pPr>
        <w:spacing w:after="60" w:line="276" w:lineRule="auto"/>
        <w:ind w:left="4200"/>
        <w:jc w:val="right"/>
        <w:rPr>
          <w:color w:val="auto"/>
        </w:rPr>
      </w:pPr>
      <w:r w:rsidRPr="004B7699">
        <w:rPr>
          <w:color w:val="auto"/>
          <w:sz w:val="22"/>
          <w:szCs w:val="22"/>
        </w:rPr>
        <w:t>Судья [Ф. И. О.]</w:t>
      </w:r>
    </w:p>
    <w:p w:rsidR="004D27C9" w:rsidRPr="004B7699" w:rsidRDefault="004D27C9">
      <w:pPr>
        <w:pBdr>
          <w:bottom w:val="single" w:sz="6" w:space="1" w:color="B0422A"/>
        </w:pBdr>
        <w:spacing w:before="160" w:after="320"/>
        <w:rPr>
          <w:color w:val="auto"/>
        </w:rPr>
      </w:pPr>
    </w:p>
    <w:p w:rsidR="004D27C9" w:rsidRPr="004B7699" w:rsidRDefault="002763FB">
      <w:pPr>
        <w:spacing w:after="60"/>
        <w:jc w:val="center"/>
        <w:rPr>
          <w:color w:val="auto"/>
        </w:rPr>
      </w:pPr>
      <w:r w:rsidRPr="004B7699">
        <w:rPr>
          <w:b/>
          <w:bCs/>
          <w:color w:val="auto"/>
          <w:spacing w:val="40"/>
          <w:sz w:val="36"/>
          <w:szCs w:val="36"/>
        </w:rPr>
        <w:t>ОТЗЫВ</w:t>
      </w:r>
    </w:p>
    <w:p w:rsidR="004D27C9" w:rsidRPr="004B7699" w:rsidRDefault="002763FB">
      <w:pPr>
        <w:spacing w:after="360"/>
        <w:jc w:val="center"/>
        <w:rPr>
          <w:color w:val="auto"/>
        </w:rPr>
      </w:pPr>
      <w:r w:rsidRPr="004B7699">
        <w:rPr>
          <w:i/>
          <w:iCs/>
          <w:color w:val="auto"/>
        </w:rPr>
        <w:t>на исковое заявление о расторжении договора аренды земельного участка</w:t>
      </w:r>
    </w:p>
    <w:p w:rsidR="004D27C9" w:rsidRPr="004B7699" w:rsidRDefault="002763FB">
      <w:pPr>
        <w:spacing w:after="160" w:line="312" w:lineRule="auto"/>
        <w:jc w:val="both"/>
        <w:rPr>
          <w:color w:val="auto"/>
        </w:rPr>
      </w:pPr>
      <w:r w:rsidRPr="004B7699">
        <w:rPr>
          <w:color w:val="auto"/>
        </w:rPr>
        <w:t xml:space="preserve">Ответчик (Арендатор), ознакомившись с исковым заявлением Истца (Арендодателя) о расторжении договора аренды земельного участка (далее </w:t>
      </w:r>
      <w:r w:rsidR="00883C99">
        <w:rPr>
          <w:color w:val="auto"/>
        </w:rPr>
        <w:t>-</w:t>
      </w:r>
      <w:r w:rsidRPr="004B7699">
        <w:rPr>
          <w:color w:val="auto"/>
        </w:rPr>
        <w:t>Договор), возражает против заявленных требований в полном объёме и просит в иске отказать.</w:t>
      </w:r>
    </w:p>
    <w:p w:rsidR="004D27C9" w:rsidRPr="004B7699" w:rsidRDefault="002763FB">
      <w:pPr>
        <w:keepNext/>
        <w:spacing w:before="300" w:after="140"/>
        <w:rPr>
          <w:color w:val="auto"/>
        </w:rPr>
      </w:pPr>
      <w:r w:rsidRPr="004B7699">
        <w:rPr>
          <w:b/>
          <w:bCs/>
          <w:color w:val="auto"/>
          <w:sz w:val="26"/>
          <w:szCs w:val="26"/>
        </w:rPr>
        <w:t>I. Существо спора и обобщённа</w:t>
      </w:r>
      <w:r w:rsidRPr="004B7699">
        <w:rPr>
          <w:b/>
          <w:bCs/>
          <w:color w:val="auto"/>
          <w:sz w:val="26"/>
          <w:szCs w:val="26"/>
        </w:rPr>
        <w:t>я позиция Ответчика</w:t>
      </w:r>
    </w:p>
    <w:p w:rsidR="004D27C9" w:rsidRPr="004B7699" w:rsidRDefault="002763FB">
      <w:pPr>
        <w:spacing w:after="160" w:line="312" w:lineRule="auto"/>
        <w:jc w:val="both"/>
        <w:rPr>
          <w:color w:val="auto"/>
        </w:rPr>
      </w:pPr>
      <w:r w:rsidRPr="004B7699">
        <w:rPr>
          <w:color w:val="auto"/>
        </w:rPr>
        <w:t>Истец просит досрочно расторгнуть Договор, заключённый на длительный срок (</w:t>
      </w:r>
      <w:proofErr w:type="spellStart"/>
      <w:r w:rsidR="00883C99">
        <w:rPr>
          <w:color w:val="auto"/>
        </w:rPr>
        <w:t>ххх</w:t>
      </w:r>
      <w:proofErr w:type="spellEnd"/>
      <w:r w:rsidRPr="004B7699">
        <w:rPr>
          <w:color w:val="auto"/>
        </w:rPr>
        <w:t xml:space="preserve"> лет), по двум группам оснований: несогласованное, по мнению Истца, строительство на участке шестнадцати объектов недвижимости и ухудшение экологической обстан</w:t>
      </w:r>
      <w:r w:rsidRPr="004B7699">
        <w:rPr>
          <w:color w:val="auto"/>
        </w:rPr>
        <w:t>овки. Оба основания не находят опоры ни в условиях Договора, ни в фактических обстоятельствах, ни в практике высших судов.</w:t>
      </w:r>
    </w:p>
    <w:p w:rsidR="00883C99" w:rsidRDefault="002763FB">
      <w:pPr>
        <w:spacing w:after="160" w:line="312" w:lineRule="auto"/>
        <w:jc w:val="both"/>
        <w:rPr>
          <w:color w:val="auto"/>
        </w:rPr>
      </w:pPr>
      <w:r w:rsidRPr="004B7699">
        <w:rPr>
          <w:color w:val="auto"/>
        </w:rPr>
        <w:t xml:space="preserve">Возражения Ответчика сводятся к шести положениям. </w:t>
      </w:r>
      <w:r w:rsidR="00883C99">
        <w:rPr>
          <w:color w:val="auto"/>
        </w:rPr>
        <w:br/>
        <w:t>1. Д</w:t>
      </w:r>
      <w:r w:rsidRPr="004B7699">
        <w:rPr>
          <w:color w:val="auto"/>
        </w:rPr>
        <w:t>ля досрочного расторжения долгосрочной аренды публичной земли закон требуе</w:t>
      </w:r>
      <w:r w:rsidRPr="004B7699">
        <w:rPr>
          <w:color w:val="auto"/>
        </w:rPr>
        <w:t>т существенного нарушения, бремя доказывания</w:t>
      </w:r>
      <w:r w:rsidR="00883C99">
        <w:rPr>
          <w:color w:val="auto"/>
        </w:rPr>
        <w:t xml:space="preserve"> которого лежит на Арендодателе.</w:t>
      </w:r>
      <w:r w:rsidRPr="004B7699">
        <w:rPr>
          <w:color w:val="auto"/>
        </w:rPr>
        <w:t xml:space="preserve"> </w:t>
      </w:r>
      <w:r w:rsidR="00883C99">
        <w:rPr>
          <w:color w:val="auto"/>
        </w:rPr>
        <w:t>Т</w:t>
      </w:r>
      <w:r w:rsidRPr="004B7699">
        <w:rPr>
          <w:color w:val="auto"/>
        </w:rPr>
        <w:t>акого нарушения нет.</w:t>
      </w:r>
    </w:p>
    <w:p w:rsidR="00883C99" w:rsidRDefault="00883C99">
      <w:pPr>
        <w:spacing w:after="160" w:line="312" w:lineRule="auto"/>
        <w:jc w:val="both"/>
        <w:rPr>
          <w:color w:val="auto"/>
        </w:rPr>
      </w:pPr>
      <w:r>
        <w:rPr>
          <w:color w:val="auto"/>
        </w:rPr>
        <w:t>2.</w:t>
      </w:r>
      <w:r w:rsidR="002763FB" w:rsidRPr="004B7699">
        <w:rPr>
          <w:color w:val="auto"/>
        </w:rPr>
        <w:t xml:space="preserve"> </w:t>
      </w:r>
      <w:r>
        <w:rPr>
          <w:color w:val="auto"/>
        </w:rPr>
        <w:t>С</w:t>
      </w:r>
      <w:r w:rsidR="002763FB" w:rsidRPr="004B7699">
        <w:rPr>
          <w:color w:val="auto"/>
        </w:rPr>
        <w:t>порные объекты были согласованы Арендодателем письменно, а его последующее поведение в течение более десяти лет лишает его права ссылаться на наруше</w:t>
      </w:r>
      <w:r w:rsidR="002763FB" w:rsidRPr="004B7699">
        <w:rPr>
          <w:color w:val="auto"/>
        </w:rPr>
        <w:t xml:space="preserve">ние. </w:t>
      </w:r>
    </w:p>
    <w:p w:rsidR="00883C99" w:rsidRDefault="00883C99">
      <w:pPr>
        <w:spacing w:after="160" w:line="312" w:lineRule="auto"/>
        <w:jc w:val="both"/>
        <w:rPr>
          <w:color w:val="auto"/>
        </w:rPr>
      </w:pPr>
      <w:r>
        <w:rPr>
          <w:color w:val="auto"/>
        </w:rPr>
        <w:t>3.</w:t>
      </w:r>
      <w:r w:rsidR="002763FB" w:rsidRPr="004B7699">
        <w:rPr>
          <w:color w:val="auto"/>
        </w:rPr>
        <w:t xml:space="preserve"> </w:t>
      </w:r>
      <w:r>
        <w:rPr>
          <w:color w:val="auto"/>
        </w:rPr>
        <w:t>Н</w:t>
      </w:r>
      <w:r w:rsidR="002763FB" w:rsidRPr="004B7699">
        <w:rPr>
          <w:color w:val="auto"/>
        </w:rPr>
        <w:t xml:space="preserve">а участке расположены принадлежащие Ответчику объекты недвижимости, право собственности на которые зарегистрировано в ЕГРН, что в силу принципа единства судьбы исключает изъятие участка и его возврат в порядке статьи 622 ГК РФ. </w:t>
      </w:r>
    </w:p>
    <w:p w:rsidR="00883C99" w:rsidRDefault="00883C99">
      <w:pPr>
        <w:spacing w:after="160" w:line="312" w:lineRule="auto"/>
        <w:jc w:val="both"/>
        <w:rPr>
          <w:color w:val="auto"/>
        </w:rPr>
      </w:pPr>
      <w:r>
        <w:rPr>
          <w:color w:val="auto"/>
        </w:rPr>
        <w:t>4. П</w:t>
      </w:r>
      <w:r w:rsidR="002763FB" w:rsidRPr="004B7699">
        <w:rPr>
          <w:color w:val="auto"/>
        </w:rPr>
        <w:t>ер</w:t>
      </w:r>
      <w:r w:rsidR="002763FB" w:rsidRPr="004B7699">
        <w:rPr>
          <w:color w:val="auto"/>
        </w:rPr>
        <w:t xml:space="preserve">ечень оснований одностороннего расторжения в Договоре закрытый, и заявленные Истцом обстоятельства в него не входят. </w:t>
      </w:r>
    </w:p>
    <w:p w:rsidR="004D27C9" w:rsidRPr="004B7699" w:rsidRDefault="002763FB">
      <w:pPr>
        <w:spacing w:after="160" w:line="312" w:lineRule="auto"/>
        <w:jc w:val="both"/>
        <w:rPr>
          <w:color w:val="auto"/>
        </w:rPr>
      </w:pPr>
      <w:r w:rsidRPr="004B7699">
        <w:rPr>
          <w:color w:val="auto"/>
        </w:rPr>
        <w:t>Пятое и шестое касаются экологического основания, которое носит предположительный характер и не связано с характеристиками самого участка.</w:t>
      </w:r>
    </w:p>
    <w:p w:rsidR="004D27C9" w:rsidRPr="004B7699" w:rsidRDefault="002763FB">
      <w:pPr>
        <w:keepNext/>
        <w:spacing w:before="300" w:after="140"/>
        <w:rPr>
          <w:color w:val="auto"/>
        </w:rPr>
      </w:pPr>
      <w:r w:rsidRPr="004B7699">
        <w:rPr>
          <w:b/>
          <w:bCs/>
          <w:color w:val="auto"/>
          <w:sz w:val="26"/>
          <w:szCs w:val="26"/>
        </w:rPr>
        <w:lastRenderedPageBreak/>
        <w:t>II. Отсутствие существенного нарушения как условия расторжения</w:t>
      </w:r>
    </w:p>
    <w:p w:rsidR="004D27C9" w:rsidRPr="004B7699" w:rsidRDefault="002763FB">
      <w:pPr>
        <w:spacing w:after="160" w:line="312" w:lineRule="auto"/>
        <w:jc w:val="both"/>
        <w:rPr>
          <w:color w:val="auto"/>
        </w:rPr>
      </w:pPr>
      <w:r w:rsidRPr="004B7699">
        <w:rPr>
          <w:color w:val="auto"/>
        </w:rPr>
        <w:t>Согласно пункту 2 статьи 450 ГК РФ договор может быть расторгнут по требованию одной стороны лишь при существенном нарушении со стороны другой. Применительно к аренде публичного участка, заключ</w:t>
      </w:r>
      <w:r w:rsidRPr="004B7699">
        <w:rPr>
          <w:color w:val="auto"/>
        </w:rPr>
        <w:t xml:space="preserve">ённой более чем на пять лет, этот критерий конкретизирован в пункте 9 статьи 22 ЗК РФ и пункте 23 </w:t>
      </w:r>
      <w:hyperlink r:id="rId7" w:history="1">
        <w:r w:rsidRPr="004B7699">
          <w:rPr>
            <w:color w:val="auto"/>
            <w:u w:val="single"/>
          </w:rPr>
          <w:t>постановления Пленума ВАС РФ от 24.03.2005 № 11</w:t>
        </w:r>
      </w:hyperlink>
      <w:r w:rsidRPr="004B7699">
        <w:rPr>
          <w:color w:val="auto"/>
        </w:rPr>
        <w:t>.</w:t>
      </w:r>
    </w:p>
    <w:p w:rsidR="004D27C9" w:rsidRPr="004B7699" w:rsidRDefault="002763FB">
      <w:pPr>
        <w:spacing w:after="160" w:line="312" w:lineRule="auto"/>
        <w:jc w:val="both"/>
        <w:rPr>
          <w:color w:val="auto"/>
        </w:rPr>
      </w:pPr>
      <w:r w:rsidRPr="004B7699">
        <w:rPr>
          <w:color w:val="auto"/>
        </w:rPr>
        <w:t>Верховный Суд Р</w:t>
      </w:r>
      <w:r w:rsidRPr="004B7699">
        <w:rPr>
          <w:color w:val="auto"/>
        </w:rPr>
        <w:t xml:space="preserve">Ф в </w:t>
      </w:r>
      <w:hyperlink r:id="rId8" w:history="1">
        <w:r w:rsidRPr="004B7699">
          <w:rPr>
            <w:color w:val="auto"/>
            <w:u w:val="single"/>
          </w:rPr>
          <w:t>определении Судебной коллегии по экономическим спорам от 15.08.2025 № 308-ЭС25-3610 по делу № А22-3038/2022</w:t>
        </w:r>
      </w:hyperlink>
      <w:r w:rsidRPr="004B7699">
        <w:rPr>
          <w:color w:val="auto"/>
        </w:rPr>
        <w:t xml:space="preserve"> прямо указал, что критерием, допускающим досрочн</w:t>
      </w:r>
      <w:r w:rsidRPr="004B7699">
        <w:rPr>
          <w:color w:val="auto"/>
        </w:rPr>
        <w:t>ое прекращение такого договора, является существенность нарушения, а доказательства существенности обязан представить арендодатель. Суд сформулировал, что задача суда состоит в том, чтобы «</w:t>
      </w:r>
      <w:proofErr w:type="gramStart"/>
      <w:r w:rsidRPr="004B7699">
        <w:rPr>
          <w:color w:val="auto"/>
        </w:rPr>
        <w:t>оценить</w:t>
      </w:r>
      <w:proofErr w:type="gramEnd"/>
      <w:r w:rsidRPr="004B7699">
        <w:rPr>
          <w:color w:val="auto"/>
        </w:rPr>
        <w:t xml:space="preserve"> как доказательства истца, так и доводы ответчика, и определ</w:t>
      </w:r>
      <w:r w:rsidRPr="004B7699">
        <w:rPr>
          <w:color w:val="auto"/>
        </w:rPr>
        <w:t>ить, допустима ли такая крайняя мера как прекращение правоотношений, применимая к недобросовестному контрагенту», и что суд должен установить, «является ли расторжение договора соразмерной мерой ответственности за нарушение обязательства […] и соответствуе</w:t>
      </w:r>
      <w:r w:rsidRPr="004B7699">
        <w:rPr>
          <w:color w:val="auto"/>
        </w:rPr>
        <w:t>т ли балансу интересов сторон».</w:t>
      </w:r>
    </w:p>
    <w:p w:rsidR="004D27C9" w:rsidRPr="004B7699" w:rsidRDefault="002763FB">
      <w:pPr>
        <w:spacing w:after="160" w:line="312" w:lineRule="auto"/>
        <w:jc w:val="both"/>
        <w:rPr>
          <w:color w:val="auto"/>
        </w:rPr>
      </w:pPr>
      <w:r w:rsidRPr="004B7699">
        <w:rPr>
          <w:color w:val="auto"/>
        </w:rPr>
        <w:t xml:space="preserve">Истец не доказал, что действия Ответчика причинили ему ущерб, в значительной степени лишивший его того, на что он был вправе рассчитывать при заключении Договора. Напротив, участок используется по назначению, арендная плата </w:t>
      </w:r>
      <w:r w:rsidRPr="004B7699">
        <w:rPr>
          <w:color w:val="auto"/>
        </w:rPr>
        <w:t xml:space="preserve">вносится в полном объёме и в срок, а спорные объекты повышают, а не понижают ценность и функциональность участка как части </w:t>
      </w:r>
      <w:r w:rsidR="00883C99">
        <w:rPr>
          <w:color w:val="auto"/>
        </w:rPr>
        <w:t>единого</w:t>
      </w:r>
      <w:r w:rsidRPr="004B7699">
        <w:rPr>
          <w:color w:val="auto"/>
        </w:rPr>
        <w:t xml:space="preserve"> комплекса. Расторжение долгосрочного договора при таких обстоятельствах не является ни соразмерной мерой, ни ответом на реа</w:t>
      </w:r>
      <w:r w:rsidRPr="004B7699">
        <w:rPr>
          <w:color w:val="auto"/>
        </w:rPr>
        <w:t>льное нарушение баланса интересов.</w:t>
      </w:r>
    </w:p>
    <w:p w:rsidR="004D27C9" w:rsidRPr="004B7699" w:rsidRDefault="002763FB">
      <w:pPr>
        <w:keepNext/>
        <w:spacing w:before="300" w:after="140"/>
        <w:rPr>
          <w:color w:val="auto"/>
        </w:rPr>
      </w:pPr>
      <w:r w:rsidRPr="004B7699">
        <w:rPr>
          <w:b/>
          <w:bCs/>
          <w:color w:val="auto"/>
          <w:sz w:val="26"/>
          <w:szCs w:val="26"/>
        </w:rPr>
        <w:t>III. Согласование объектов и недопустимость противоречивого поведения (</w:t>
      </w:r>
      <w:proofErr w:type="spellStart"/>
      <w:r w:rsidRPr="004B7699">
        <w:rPr>
          <w:b/>
          <w:bCs/>
          <w:color w:val="auto"/>
          <w:sz w:val="26"/>
          <w:szCs w:val="26"/>
        </w:rPr>
        <w:t>эстоппель</w:t>
      </w:r>
      <w:proofErr w:type="spellEnd"/>
      <w:r w:rsidRPr="004B7699">
        <w:rPr>
          <w:b/>
          <w:bCs/>
          <w:color w:val="auto"/>
          <w:sz w:val="26"/>
          <w:szCs w:val="26"/>
        </w:rPr>
        <w:t>)</w:t>
      </w:r>
    </w:p>
    <w:p w:rsidR="004D27C9" w:rsidRPr="004B7699" w:rsidRDefault="002763FB">
      <w:pPr>
        <w:spacing w:after="160" w:line="312" w:lineRule="auto"/>
        <w:jc w:val="both"/>
        <w:rPr>
          <w:color w:val="auto"/>
        </w:rPr>
      </w:pPr>
      <w:r w:rsidRPr="004B7699">
        <w:rPr>
          <w:color w:val="auto"/>
        </w:rPr>
        <w:t xml:space="preserve">Истец квалифицирует возведение объектов как нарушение пункта </w:t>
      </w:r>
      <w:proofErr w:type="spellStart"/>
      <w:r w:rsidR="00883C99">
        <w:rPr>
          <w:color w:val="auto"/>
        </w:rPr>
        <w:t>ххх</w:t>
      </w:r>
      <w:proofErr w:type="spellEnd"/>
      <w:r w:rsidRPr="004B7699">
        <w:rPr>
          <w:color w:val="auto"/>
        </w:rPr>
        <w:t xml:space="preserve"> Договора, обязывающего Арендатора согласовывать строительные работы. Это утверждение не соответствует действительности.</w:t>
      </w:r>
    </w:p>
    <w:p w:rsidR="004D27C9" w:rsidRPr="004B7699" w:rsidRDefault="002763FB">
      <w:pPr>
        <w:spacing w:after="160" w:line="312" w:lineRule="auto"/>
        <w:jc w:val="both"/>
        <w:rPr>
          <w:color w:val="auto"/>
        </w:rPr>
      </w:pPr>
      <w:r w:rsidRPr="004B7699">
        <w:rPr>
          <w:b/>
          <w:bCs/>
          <w:color w:val="auto"/>
        </w:rPr>
        <w:t>Объекты были согласованы письменно.</w:t>
      </w:r>
      <w:r w:rsidRPr="004B7699">
        <w:rPr>
          <w:color w:val="auto"/>
        </w:rPr>
        <w:t xml:space="preserve"> Возведение спорных объектов согла</w:t>
      </w:r>
      <w:r w:rsidRPr="004B7699">
        <w:rPr>
          <w:color w:val="auto"/>
        </w:rPr>
        <w:t>совывалось Арендодателем серией писем, направленных в адрес Арендатора и касавшихся согласования строительных работ, объектов вспомогательного хозяйства, здания управления</w:t>
      </w:r>
      <w:r w:rsidR="00883C99">
        <w:rPr>
          <w:color w:val="auto"/>
        </w:rPr>
        <w:t xml:space="preserve"> и</w:t>
      </w:r>
      <w:r w:rsidRPr="004B7699">
        <w:rPr>
          <w:color w:val="auto"/>
        </w:rPr>
        <w:t xml:space="preserve"> резервуара</w:t>
      </w:r>
      <w:r w:rsidRPr="004B7699">
        <w:rPr>
          <w:color w:val="auto"/>
        </w:rPr>
        <w:t xml:space="preserve">. </w:t>
      </w:r>
      <w:r w:rsidR="00883C99">
        <w:rPr>
          <w:color w:val="auto"/>
        </w:rPr>
        <w:t>О</w:t>
      </w:r>
      <w:r w:rsidRPr="004B7699">
        <w:rPr>
          <w:color w:val="auto"/>
        </w:rPr>
        <w:t>граждение возводилось в ра</w:t>
      </w:r>
      <w:r w:rsidRPr="004B7699">
        <w:rPr>
          <w:color w:val="auto"/>
        </w:rPr>
        <w:t xml:space="preserve">мках переписки, инициированной самим Арендодателем по вопросам охраны окружающей среды. Цель аренды в редакции дополнительного соглашения к Договору прямо допускает модернизацию вспомогательного хозяйства </w:t>
      </w:r>
      <w:r w:rsidR="00883C99">
        <w:rPr>
          <w:color w:val="auto"/>
        </w:rPr>
        <w:t>комплекса</w:t>
      </w:r>
      <w:r w:rsidRPr="004B7699">
        <w:rPr>
          <w:color w:val="auto"/>
        </w:rPr>
        <w:t xml:space="preserve"> путём строительства, реконструкции и капиталь</w:t>
      </w:r>
      <w:r w:rsidRPr="004B7699">
        <w:rPr>
          <w:color w:val="auto"/>
        </w:rPr>
        <w:t>ного ремонта объектов капитального строительства.</w:t>
      </w:r>
    </w:p>
    <w:p w:rsidR="004D27C9" w:rsidRPr="004B7699" w:rsidRDefault="002763FB">
      <w:pPr>
        <w:spacing w:after="160" w:line="312" w:lineRule="auto"/>
        <w:jc w:val="both"/>
        <w:rPr>
          <w:color w:val="auto"/>
        </w:rPr>
      </w:pPr>
      <w:r w:rsidRPr="004B7699">
        <w:rPr>
          <w:b/>
          <w:bCs/>
          <w:color w:val="auto"/>
        </w:rPr>
        <w:lastRenderedPageBreak/>
        <w:t>Поведение Арендодателя исключает ссылку на нарушение.</w:t>
      </w:r>
      <w:r w:rsidRPr="004B7699">
        <w:rPr>
          <w:color w:val="auto"/>
        </w:rPr>
        <w:t xml:space="preserve"> Право собственности Ответчика на объекты зарегистрировано в ЕГРН и не оспаривалось более </w:t>
      </w:r>
      <w:proofErr w:type="spellStart"/>
      <w:r w:rsidR="00883C99">
        <w:rPr>
          <w:color w:val="auto"/>
        </w:rPr>
        <w:t>ххх</w:t>
      </w:r>
      <w:proofErr w:type="spellEnd"/>
      <w:r w:rsidRPr="004B7699">
        <w:rPr>
          <w:color w:val="auto"/>
        </w:rPr>
        <w:t xml:space="preserve"> лет. Арендодатель проводил регулярные осмотры участк</w:t>
      </w:r>
      <w:r w:rsidRPr="004B7699">
        <w:rPr>
          <w:color w:val="auto"/>
        </w:rPr>
        <w:t>а и не предъявлял претензий по поводу состава объектов. Решающим обстоятельством является то, что менее чем за два месяца до направления уведомления о расторжении стороны заключили очередное дополнительное соглашение к Договору. Этим соглашением арендная п</w:t>
      </w:r>
      <w:r w:rsidRPr="004B7699">
        <w:rPr>
          <w:color w:val="auto"/>
        </w:rPr>
        <w:t>лата приводилась в соответствие с изменением ставки НДС, был закреплён переход сторон на электронный документооборот и согласована налоговая оговорка на будущее. Соглашение распространило своё действие на предшествующий период и подлежит государственной ре</w:t>
      </w:r>
      <w:r w:rsidRPr="004B7699">
        <w:rPr>
          <w:color w:val="auto"/>
        </w:rPr>
        <w:t>гистрации.</w:t>
      </w:r>
    </w:p>
    <w:p w:rsidR="004D27C9" w:rsidRPr="004B7699" w:rsidRDefault="002763FB">
      <w:pPr>
        <w:spacing w:after="160" w:line="312" w:lineRule="auto"/>
        <w:jc w:val="both"/>
        <w:rPr>
          <w:color w:val="auto"/>
        </w:rPr>
      </w:pPr>
      <w:r w:rsidRPr="004B7699">
        <w:rPr>
          <w:color w:val="auto"/>
        </w:rPr>
        <w:t>Заключив новое соглашение к Договору, распространив его на прошлый и будущий периоды и продолжив получать арендную плату, Арендодатель подтвердил, что считает Договор действующим и рассчитывает на его дальнейшее исполнение. Если бы он расценивал</w:t>
      </w:r>
      <w:r w:rsidRPr="004B7699">
        <w:rPr>
          <w:color w:val="auto"/>
        </w:rPr>
        <w:t xml:space="preserve"> поведение Арендатора как основание для прекращения аренды, последовательным поведением было бы инициирование расторжения, а не оформление с Арендатором очередного дополнительного соглашения с условиями на будущее время.</w:t>
      </w:r>
    </w:p>
    <w:p w:rsidR="004D27C9" w:rsidRPr="004B7699" w:rsidRDefault="002763FB">
      <w:pPr>
        <w:spacing w:after="160" w:line="312" w:lineRule="auto"/>
        <w:jc w:val="both"/>
        <w:rPr>
          <w:color w:val="auto"/>
        </w:rPr>
      </w:pPr>
      <w:r w:rsidRPr="004B7699">
        <w:rPr>
          <w:color w:val="auto"/>
        </w:rPr>
        <w:t>Совокупность этих действий образует</w:t>
      </w:r>
      <w:r w:rsidRPr="004B7699">
        <w:rPr>
          <w:color w:val="auto"/>
        </w:rPr>
        <w:t xml:space="preserve"> конклюдентное одобрение и порождает </w:t>
      </w:r>
      <w:proofErr w:type="spellStart"/>
      <w:r w:rsidRPr="004B7699">
        <w:rPr>
          <w:color w:val="auto"/>
        </w:rPr>
        <w:t>эстоппель</w:t>
      </w:r>
      <w:proofErr w:type="spellEnd"/>
      <w:r w:rsidRPr="004B7699">
        <w:rPr>
          <w:color w:val="auto"/>
        </w:rPr>
        <w:t>, то есть утрату права ссылаться на нарушение, в силу пункта 3 статьи 1 и статьи 10 ГК РФ, разъяснённых в постановлении Пленума ВС РФ от 23.06.2015 № 25.</w:t>
      </w:r>
    </w:p>
    <w:p w:rsidR="004D27C9" w:rsidRPr="004B7699" w:rsidRDefault="002763FB">
      <w:pPr>
        <w:spacing w:after="160" w:line="312" w:lineRule="auto"/>
        <w:jc w:val="both"/>
        <w:rPr>
          <w:color w:val="auto"/>
        </w:rPr>
      </w:pPr>
      <w:r w:rsidRPr="004B7699">
        <w:rPr>
          <w:color w:val="auto"/>
        </w:rPr>
        <w:t xml:space="preserve">Показательно </w:t>
      </w:r>
      <w:hyperlink r:id="rId9" w:history="1">
        <w:r w:rsidRPr="004B7699">
          <w:rPr>
            <w:color w:val="auto"/>
            <w:u w:val="single"/>
          </w:rPr>
          <w:t>определение Судебной коллегии по экономическим спорам ВС РФ от 02.07.2015 № 305-ЭС15-2415 по делу № А40-28123/2014</w:t>
        </w:r>
      </w:hyperlink>
      <w:r w:rsidRPr="004B7699">
        <w:rPr>
          <w:color w:val="auto"/>
        </w:rPr>
        <w:t>. В нём арендодатель после направления уведомлен</w:t>
      </w:r>
      <w:r w:rsidRPr="004B7699">
        <w:rPr>
          <w:color w:val="auto"/>
        </w:rPr>
        <w:t>ия о расторжении длительно продолжал отношения и подписал дополнительное соглашение к договору, распространив его на предшествующий период. Суд признал, что «прекращение договора аренды не состоялось: волеизъявление предприятия не было реализовано им же са</w:t>
      </w:r>
      <w:r w:rsidRPr="004B7699">
        <w:rPr>
          <w:color w:val="auto"/>
        </w:rPr>
        <w:t>мим по его же воле», и что иная оценка «позволяла бы предприятию непредсказуемо долго удерживать созданную им ситуацию в состоянии неопределённости […], что не отвечало бы охраняемым законом принципам равенства участников гражданских правоотношений, стабил</w:t>
      </w:r>
      <w:r w:rsidRPr="004B7699">
        <w:rPr>
          <w:color w:val="auto"/>
        </w:rPr>
        <w:t>ьности гражданского оборота и определённости правоотношений сторон». В иске было отказано. Фактическая модель настоящего дела совпадает: подписав дополнительное соглашение уже после возникновения всех обстоятельств, на которые ссылается Истец, и распростра</w:t>
      </w:r>
      <w:r w:rsidRPr="004B7699">
        <w:rPr>
          <w:color w:val="auto"/>
        </w:rPr>
        <w:t>нив его на предшествующий период, Арендодатель подтвердил действие Договора на прежних условиях.</w:t>
      </w:r>
    </w:p>
    <w:p w:rsidR="004D27C9" w:rsidRPr="004B7699" w:rsidRDefault="002763FB">
      <w:pPr>
        <w:spacing w:after="160" w:line="312" w:lineRule="auto"/>
        <w:jc w:val="both"/>
        <w:rPr>
          <w:color w:val="auto"/>
        </w:rPr>
      </w:pPr>
      <w:r w:rsidRPr="004B7699">
        <w:rPr>
          <w:color w:val="auto"/>
        </w:rPr>
        <w:t xml:space="preserve">Этот подход подтверждён и в новейшей практике: в </w:t>
      </w:r>
      <w:hyperlink r:id="rId10" w:history="1">
        <w:r w:rsidRPr="004B7699">
          <w:rPr>
            <w:color w:val="auto"/>
            <w:u w:val="single"/>
          </w:rPr>
          <w:t>определении Су</w:t>
        </w:r>
        <w:r w:rsidRPr="004B7699">
          <w:rPr>
            <w:color w:val="auto"/>
            <w:u w:val="single"/>
          </w:rPr>
          <w:t xml:space="preserve">дебной коллегии по экономическим спорам ВС РФ от 07.04.2026 № 305-ЭС25-13294 по </w:t>
        </w:r>
        <w:r w:rsidRPr="004B7699">
          <w:rPr>
            <w:color w:val="auto"/>
            <w:u w:val="single"/>
          </w:rPr>
          <w:lastRenderedPageBreak/>
          <w:t>делу № А40-158814/2024</w:t>
        </w:r>
      </w:hyperlink>
      <w:r w:rsidRPr="004B7699">
        <w:rPr>
          <w:color w:val="auto"/>
        </w:rPr>
        <w:t xml:space="preserve"> суд отказал в иске со ссылкой на исторически сложившийся порядок, который длительно соблюдался всеми участниками, включая истца, не заявлявшего возражени</w:t>
      </w:r>
      <w:r w:rsidRPr="004B7699">
        <w:rPr>
          <w:color w:val="auto"/>
        </w:rPr>
        <w:t>й.</w:t>
      </w:r>
    </w:p>
    <w:p w:rsidR="004D27C9" w:rsidRPr="004B7699" w:rsidRDefault="002763FB">
      <w:pPr>
        <w:keepNext/>
        <w:spacing w:before="300" w:after="140"/>
        <w:rPr>
          <w:color w:val="auto"/>
        </w:rPr>
      </w:pPr>
      <w:r w:rsidRPr="004B7699">
        <w:rPr>
          <w:b/>
          <w:bCs/>
          <w:color w:val="auto"/>
          <w:sz w:val="26"/>
          <w:szCs w:val="26"/>
        </w:rPr>
        <w:t>IV. Единство судьбы земельного участка и недвижимости</w:t>
      </w:r>
    </w:p>
    <w:p w:rsidR="004D27C9" w:rsidRPr="004B7699" w:rsidRDefault="002763FB">
      <w:pPr>
        <w:spacing w:after="160" w:line="312" w:lineRule="auto"/>
        <w:jc w:val="both"/>
        <w:rPr>
          <w:color w:val="auto"/>
        </w:rPr>
      </w:pPr>
      <w:r w:rsidRPr="004B7699">
        <w:rPr>
          <w:color w:val="auto"/>
        </w:rPr>
        <w:t>На участке расположены принадлежащие Ответчику объекты недвижимости, право собственности на которые зарегистрировано в ЕГРН. Это обстоятельство само по себе исключает удовлетворение требований об осв</w:t>
      </w:r>
      <w:r w:rsidRPr="004B7699">
        <w:rPr>
          <w:color w:val="auto"/>
        </w:rPr>
        <w:t>обождении участка и приведении его в первоначальное состояние.</w:t>
      </w:r>
    </w:p>
    <w:p w:rsidR="004D27C9" w:rsidRPr="004B7699" w:rsidRDefault="002763FB">
      <w:pPr>
        <w:spacing w:after="160" w:line="312" w:lineRule="auto"/>
        <w:jc w:val="both"/>
        <w:rPr>
          <w:color w:val="auto"/>
        </w:rPr>
      </w:pPr>
      <w:r w:rsidRPr="004B7699">
        <w:rPr>
          <w:color w:val="auto"/>
        </w:rPr>
        <w:t xml:space="preserve">Принцип единства судьбы земельного участка и прочно связанных с ним объектов закреплён в подпункте 5 пункта 1 статьи 1 ЗК РФ и статье 271 ГК РФ. Конституционный Суд РФ в </w:t>
      </w:r>
      <w:hyperlink r:id="rId11" w:history="1">
        <w:r w:rsidRPr="004B7699">
          <w:rPr>
            <w:color w:val="auto"/>
            <w:u w:val="single"/>
          </w:rPr>
          <w:t>постановлении от 11.06.2024 № 29-П</w:t>
        </w:r>
      </w:hyperlink>
      <w:r w:rsidRPr="004B7699">
        <w:rPr>
          <w:color w:val="auto"/>
        </w:rPr>
        <w:t xml:space="preserve"> указал, что решающим является факт регистрации объекта как недвижимости и его функциональная связь с участком, а в </w:t>
      </w:r>
      <w:hyperlink r:id="rId12" w:history="1">
        <w:r w:rsidRPr="004B7699">
          <w:rPr>
            <w:color w:val="auto"/>
            <w:u w:val="single"/>
          </w:rPr>
          <w:t>определении от 12.11.2019 № 2970-О</w:t>
        </w:r>
      </w:hyperlink>
      <w:r w:rsidRPr="004B7699">
        <w:rPr>
          <w:color w:val="auto"/>
        </w:rPr>
        <w:t xml:space="preserve"> подтвердил недопустимость отчуждения участка без расположенных на нём строений, принадлежащих одному лицу.</w:t>
      </w:r>
    </w:p>
    <w:p w:rsidR="004D27C9" w:rsidRPr="004B7699" w:rsidRDefault="002763FB">
      <w:pPr>
        <w:spacing w:after="160" w:line="312" w:lineRule="auto"/>
        <w:jc w:val="both"/>
        <w:rPr>
          <w:color w:val="auto"/>
        </w:rPr>
      </w:pPr>
      <w:r w:rsidRPr="004B7699">
        <w:rPr>
          <w:color w:val="auto"/>
        </w:rPr>
        <w:t xml:space="preserve">Принципиально важно </w:t>
      </w:r>
      <w:hyperlink r:id="rId13" w:history="1">
        <w:r w:rsidRPr="004B7699">
          <w:rPr>
            <w:color w:val="auto"/>
            <w:u w:val="single"/>
          </w:rPr>
          <w:t>определение Судебной коллегии по экономическим спорам ВС РФ от 04.12.2025 № 303-ЭС25-6975 по делу № А37-2657/2023</w:t>
        </w:r>
      </w:hyperlink>
      <w:r w:rsidRPr="004B7699">
        <w:rPr>
          <w:color w:val="auto"/>
        </w:rPr>
        <w:t xml:space="preserve">. Суд разъяснил, что статья 622 ГК РФ неприменима для освобождения публичного </w:t>
      </w:r>
      <w:r w:rsidRPr="004B7699">
        <w:rPr>
          <w:color w:val="auto"/>
        </w:rPr>
        <w:t>участка, предоставленного для строительства, от возведённых на нём объектов недвижимости, а такие споры требуют применения специального порядка: сноса по правилам о самовольных постройках (статья 222 ГК РФ, глава 6.4 Градостроительного кодекса РФ) либо изъ</w:t>
      </w:r>
      <w:r w:rsidRPr="004B7699">
        <w:rPr>
          <w:color w:val="auto"/>
        </w:rPr>
        <w:t>ятия объекта путём продажи с торгов (пункт 1 статьи 239.1 ГК РФ). Суд указал на недопустимость подмены иска о сносе требованием о возврате арендованного участка. Именно такую подмену допускает Истец, требуя «освободить участок и привести в первоначальное с</w:t>
      </w:r>
      <w:r w:rsidRPr="004B7699">
        <w:rPr>
          <w:color w:val="auto"/>
        </w:rPr>
        <w:t>остояние» в отношении капитальных объектов, зарегистрированных в ЕГРН.</w:t>
      </w:r>
    </w:p>
    <w:p w:rsidR="004D27C9" w:rsidRPr="004B7699" w:rsidRDefault="002763FB">
      <w:pPr>
        <w:spacing w:after="160" w:line="312" w:lineRule="auto"/>
        <w:jc w:val="both"/>
        <w:rPr>
          <w:color w:val="auto"/>
        </w:rPr>
      </w:pPr>
      <w:r w:rsidRPr="004B7699">
        <w:rPr>
          <w:color w:val="auto"/>
        </w:rPr>
        <w:t xml:space="preserve">Невозможность изъятия публичного участка, занятого объектами собственника, подтверждается и пунктом 25 </w:t>
      </w:r>
      <w:hyperlink r:id="rId14" w:history="1">
        <w:r w:rsidRPr="004B7699">
          <w:rPr>
            <w:color w:val="auto"/>
            <w:u w:val="single"/>
          </w:rPr>
          <w:t>Обзора судебной практики ВС РФ № 2 (2020)</w:t>
        </w:r>
      </w:hyperlink>
      <w:r w:rsidRPr="004B7699">
        <w:rPr>
          <w:color w:val="auto"/>
        </w:rPr>
        <w:t xml:space="preserve">, пунктом 15 </w:t>
      </w:r>
      <w:hyperlink r:id="rId15" w:history="1">
        <w:r w:rsidRPr="004B7699">
          <w:rPr>
            <w:color w:val="auto"/>
            <w:u w:val="single"/>
          </w:rPr>
          <w:t>Обзора № 1 (2018)</w:t>
        </w:r>
      </w:hyperlink>
      <w:r w:rsidRPr="004B7699">
        <w:rPr>
          <w:color w:val="auto"/>
        </w:rPr>
        <w:t xml:space="preserve"> и пунктом 13 </w:t>
      </w:r>
      <w:hyperlink r:id="rId16" w:history="1">
        <w:r w:rsidRPr="004B7699">
          <w:rPr>
            <w:color w:val="auto"/>
            <w:u w:val="single"/>
          </w:rPr>
          <w:t>постановления Пленума ВАС РФ от 24.03.2005 № 11</w:t>
        </w:r>
      </w:hyperlink>
      <w:r w:rsidRPr="004B7699">
        <w:rPr>
          <w:color w:val="auto"/>
        </w:rPr>
        <w:t>.</w:t>
      </w:r>
    </w:p>
    <w:p w:rsidR="004D27C9" w:rsidRPr="004B7699" w:rsidRDefault="002763FB">
      <w:pPr>
        <w:keepNext/>
        <w:spacing w:before="300" w:after="140"/>
        <w:rPr>
          <w:color w:val="auto"/>
        </w:rPr>
      </w:pPr>
      <w:r w:rsidRPr="004B7699">
        <w:rPr>
          <w:b/>
          <w:bCs/>
          <w:color w:val="auto"/>
          <w:sz w:val="26"/>
          <w:szCs w:val="26"/>
        </w:rPr>
        <w:t>V. Закрытый перечень оснований расторжения и неприменимость режима самовольной постройки</w:t>
      </w:r>
    </w:p>
    <w:p w:rsidR="004D27C9" w:rsidRPr="004B7699" w:rsidRDefault="002763FB">
      <w:pPr>
        <w:spacing w:after="160" w:line="312" w:lineRule="auto"/>
        <w:jc w:val="both"/>
        <w:rPr>
          <w:color w:val="auto"/>
        </w:rPr>
      </w:pPr>
      <w:r w:rsidRPr="004B7699">
        <w:rPr>
          <w:color w:val="auto"/>
        </w:rPr>
        <w:t xml:space="preserve">Пункт </w:t>
      </w:r>
      <w:proofErr w:type="spellStart"/>
      <w:r w:rsidR="00883C99">
        <w:rPr>
          <w:color w:val="auto"/>
        </w:rPr>
        <w:t>ххх</w:t>
      </w:r>
      <w:proofErr w:type="spellEnd"/>
      <w:r w:rsidRPr="004B7699">
        <w:rPr>
          <w:color w:val="auto"/>
        </w:rPr>
        <w:t xml:space="preserve"> Договора устанавливает исчерпывающий перечень оснований одностороннего расторжения по требованию Арендодателя: нецелевое использование, неиспользование участка, неуплата арендной платы за два срока подряд и умышленное ухудшение состояния участка.</w:t>
      </w:r>
      <w:r w:rsidRPr="004B7699">
        <w:rPr>
          <w:color w:val="auto"/>
        </w:rPr>
        <w:t xml:space="preserve"> Нарушение обязанности по согласованию работ (пункт </w:t>
      </w:r>
      <w:proofErr w:type="spellStart"/>
      <w:r w:rsidR="00883C99">
        <w:rPr>
          <w:color w:val="auto"/>
        </w:rPr>
        <w:t>ххх</w:t>
      </w:r>
      <w:proofErr w:type="spellEnd"/>
      <w:r w:rsidRPr="004B7699">
        <w:rPr>
          <w:color w:val="auto"/>
        </w:rPr>
        <w:t xml:space="preserve">) в этот перечень не входит. Возможность </w:t>
      </w:r>
      <w:r w:rsidRPr="004B7699">
        <w:rPr>
          <w:color w:val="auto"/>
        </w:rPr>
        <w:lastRenderedPageBreak/>
        <w:t>установления сторонами дополнительных оснований расторжения не означает, что суд вправе расширять согласованный перечень за пределы его текста.</w:t>
      </w:r>
    </w:p>
    <w:p w:rsidR="004D27C9" w:rsidRPr="004B7699" w:rsidRDefault="002763FB">
      <w:pPr>
        <w:spacing w:after="160" w:line="312" w:lineRule="auto"/>
        <w:jc w:val="both"/>
        <w:rPr>
          <w:color w:val="auto"/>
        </w:rPr>
      </w:pPr>
      <w:r w:rsidRPr="004B7699">
        <w:rPr>
          <w:color w:val="auto"/>
        </w:rPr>
        <w:t>Несостоятельна</w:t>
      </w:r>
      <w:r w:rsidRPr="004B7699">
        <w:rPr>
          <w:color w:val="auto"/>
        </w:rPr>
        <w:t xml:space="preserve"> и квалификация объектов как самовольных построек. Пленум ВС РФ в </w:t>
      </w:r>
      <w:hyperlink r:id="rId17" w:history="1">
        <w:r w:rsidRPr="004B7699">
          <w:rPr>
            <w:color w:val="auto"/>
            <w:u w:val="single"/>
          </w:rPr>
          <w:t xml:space="preserve">постановлении от 12.12.2023 </w:t>
        </w:r>
        <w:r w:rsidRPr="004B7699">
          <w:rPr>
            <w:color w:val="auto"/>
            <w:u w:val="single"/>
          </w:rPr>
          <w:t>№</w:t>
        </w:r>
        <w:r w:rsidRPr="004B7699">
          <w:rPr>
            <w:color w:val="auto"/>
            <w:u w:val="single"/>
          </w:rPr>
          <w:t xml:space="preserve"> 44</w:t>
        </w:r>
      </w:hyperlink>
      <w:r w:rsidRPr="004B7699">
        <w:rPr>
          <w:color w:val="auto"/>
        </w:rPr>
        <w:t xml:space="preserve"> (пункт 26) разъяснил, что отмена уполномоченным органом или с</w:t>
      </w:r>
      <w:r w:rsidRPr="004B7699">
        <w:rPr>
          <w:color w:val="auto"/>
        </w:rPr>
        <w:t xml:space="preserve">удом разрешения на строительство сама по себе не свидетельствует о самовольности постройки. Применительно к расторжению договора аренды этот подход развит в определениях Судебной коллегии по гражданским делам ВС РФ от 23.09.2025 </w:t>
      </w:r>
      <w:hyperlink r:id="rId18" w:history="1">
        <w:r w:rsidRPr="004B7699">
          <w:rPr>
            <w:color w:val="auto"/>
            <w:u w:val="single"/>
          </w:rPr>
          <w:t>№ 18-КГ25-235</w:t>
        </w:r>
      </w:hyperlink>
      <w:r w:rsidRPr="004B7699">
        <w:rPr>
          <w:color w:val="auto"/>
        </w:rPr>
        <w:t xml:space="preserve"> и </w:t>
      </w:r>
      <w:hyperlink r:id="rId19" w:history="1">
        <w:r w:rsidRPr="004B7699">
          <w:rPr>
            <w:color w:val="auto"/>
            <w:u w:val="single"/>
          </w:rPr>
          <w:t>№ 18-КГ25-312</w:t>
        </w:r>
      </w:hyperlink>
      <w:r w:rsidRPr="004B7699">
        <w:rPr>
          <w:color w:val="auto"/>
        </w:rPr>
        <w:t xml:space="preserve">: отсутствие разрешения и последующее расторжение договора не </w:t>
      </w:r>
      <w:r w:rsidRPr="004B7699">
        <w:rPr>
          <w:color w:val="auto"/>
        </w:rPr>
        <w:t>образуют ни существенного нарушения, ни признаков самовольности, а статус постройки определяется на дату начала её возведения. Объекты Ответчика возводились при согласии Арендодателя и в соответствии с целевым назначением участка.</w:t>
      </w:r>
    </w:p>
    <w:p w:rsidR="004D27C9" w:rsidRPr="004B7699" w:rsidRDefault="002763FB">
      <w:pPr>
        <w:keepNext/>
        <w:spacing w:before="300" w:after="140"/>
        <w:rPr>
          <w:color w:val="auto"/>
        </w:rPr>
      </w:pPr>
      <w:r w:rsidRPr="004B7699">
        <w:rPr>
          <w:b/>
          <w:bCs/>
          <w:color w:val="auto"/>
          <w:sz w:val="26"/>
          <w:szCs w:val="26"/>
        </w:rPr>
        <w:t>VI. Экологическое основан</w:t>
      </w:r>
      <w:r w:rsidRPr="004B7699">
        <w:rPr>
          <w:b/>
          <w:bCs/>
          <w:color w:val="auto"/>
          <w:sz w:val="26"/>
          <w:szCs w:val="26"/>
        </w:rPr>
        <w:t>ие</w:t>
      </w:r>
    </w:p>
    <w:p w:rsidR="004D27C9" w:rsidRPr="004B7699" w:rsidRDefault="002763FB">
      <w:pPr>
        <w:spacing w:after="160" w:line="312" w:lineRule="auto"/>
        <w:jc w:val="both"/>
        <w:rPr>
          <w:color w:val="auto"/>
        </w:rPr>
      </w:pPr>
      <w:r w:rsidRPr="004B7699">
        <w:rPr>
          <w:color w:val="auto"/>
        </w:rPr>
        <w:t>Экологическое основание иска носит предположительный характер и не связано с состоянием самого участка.</w:t>
      </w:r>
    </w:p>
    <w:p w:rsidR="004D27C9" w:rsidRPr="004B7699" w:rsidRDefault="002763FB">
      <w:pPr>
        <w:spacing w:after="160" w:line="312" w:lineRule="auto"/>
        <w:jc w:val="both"/>
        <w:rPr>
          <w:color w:val="auto"/>
        </w:rPr>
      </w:pPr>
      <w:r w:rsidRPr="004B7699">
        <w:rPr>
          <w:color w:val="auto"/>
        </w:rPr>
        <w:t>Истец ссылается на предостережения контрольного (надзорного) органа. Однако предостережение по своей правовой природе является мерой профилактики в с</w:t>
      </w:r>
      <w:r w:rsidRPr="004B7699">
        <w:rPr>
          <w:color w:val="auto"/>
        </w:rPr>
        <w:t>оответствии с Федеральным законом от 31.07.2020 № 248-ФЗ «О государственном контроле (надзоре) и муниципальном контроле в Российской Федерации», а не актом, фиксирующим доказанное правонарушение. Оно не устанавливает вину Ответчика и не подтверждает факт п</w:t>
      </w:r>
      <w:r w:rsidRPr="004B7699">
        <w:rPr>
          <w:color w:val="auto"/>
        </w:rPr>
        <w:t>ричинения вреда.</w:t>
      </w:r>
    </w:p>
    <w:p w:rsidR="004D27C9" w:rsidRPr="004B7699" w:rsidRDefault="002763FB">
      <w:pPr>
        <w:spacing w:after="160" w:line="312" w:lineRule="auto"/>
        <w:jc w:val="both"/>
        <w:rPr>
          <w:color w:val="auto"/>
        </w:rPr>
      </w:pPr>
      <w:r w:rsidRPr="004B7699">
        <w:rPr>
          <w:color w:val="auto"/>
        </w:rPr>
        <w:t>Истец не доказал и причинно-следственную связь между вменяемыми превышениями показателей на прилегающих территориях и ухудшением качественных характеристик арендованного участка. Между тем расположенные на участке очистные сооружения, ливн</w:t>
      </w:r>
      <w:r w:rsidRPr="004B7699">
        <w:rPr>
          <w:color w:val="auto"/>
        </w:rPr>
        <w:t xml:space="preserve">евая канализация и </w:t>
      </w:r>
      <w:bookmarkStart w:id="0" w:name="_GoBack"/>
      <w:bookmarkEnd w:id="0"/>
      <w:r w:rsidRPr="004B7699">
        <w:rPr>
          <w:color w:val="auto"/>
        </w:rPr>
        <w:t>ограждение представляют собой природоохранную инфраструктуру, снижающую негативное воздействие. Требование снести эти объекты противоречит самой цели охраны окружающей среды, на которую ссылается Истец.</w:t>
      </w:r>
    </w:p>
    <w:p w:rsidR="004D27C9" w:rsidRPr="004B7699" w:rsidRDefault="002763FB">
      <w:pPr>
        <w:keepNext/>
        <w:spacing w:before="300" w:after="140"/>
        <w:rPr>
          <w:color w:val="auto"/>
        </w:rPr>
      </w:pPr>
      <w:r w:rsidRPr="004B7699">
        <w:rPr>
          <w:b/>
          <w:bCs/>
          <w:color w:val="auto"/>
          <w:sz w:val="26"/>
          <w:szCs w:val="26"/>
        </w:rPr>
        <w:t>VII. Просительн</w:t>
      </w:r>
      <w:r w:rsidRPr="004B7699">
        <w:rPr>
          <w:b/>
          <w:bCs/>
          <w:color w:val="auto"/>
          <w:sz w:val="26"/>
          <w:szCs w:val="26"/>
        </w:rPr>
        <w:t>ая часть</w:t>
      </w:r>
    </w:p>
    <w:p w:rsidR="004D27C9" w:rsidRPr="004B7699" w:rsidRDefault="002763FB">
      <w:pPr>
        <w:spacing w:after="160" w:line="312" w:lineRule="auto"/>
        <w:jc w:val="both"/>
        <w:rPr>
          <w:color w:val="auto"/>
        </w:rPr>
      </w:pPr>
      <w:r w:rsidRPr="004B7699">
        <w:rPr>
          <w:color w:val="auto"/>
        </w:rPr>
        <w:t>На основании изложенного, руководствуясь статьями 1, 10, 271, 450, 619, 622 ГК РФ, статьями 1, 22 ЗК РФ, статьями 41, 131 АПК РФ,</w:t>
      </w:r>
    </w:p>
    <w:p w:rsidR="004D27C9" w:rsidRPr="004B7699" w:rsidRDefault="002763FB">
      <w:pPr>
        <w:spacing w:before="120" w:after="120"/>
        <w:rPr>
          <w:color w:val="auto"/>
        </w:rPr>
      </w:pPr>
      <w:r w:rsidRPr="004B7699">
        <w:rPr>
          <w:b/>
          <w:bCs/>
          <w:color w:val="auto"/>
        </w:rPr>
        <w:t>ПРОШУ:</w:t>
      </w:r>
    </w:p>
    <w:p w:rsidR="004D27C9" w:rsidRPr="004B7699" w:rsidRDefault="002763FB">
      <w:pPr>
        <w:spacing w:after="160" w:line="312" w:lineRule="auto"/>
        <w:jc w:val="both"/>
        <w:rPr>
          <w:color w:val="auto"/>
        </w:rPr>
      </w:pPr>
      <w:r w:rsidRPr="004B7699">
        <w:rPr>
          <w:color w:val="auto"/>
        </w:rPr>
        <w:t xml:space="preserve">в удовлетворении исковых требований Истца о расторжении договора аренды земельного участка, об </w:t>
      </w:r>
      <w:proofErr w:type="spellStart"/>
      <w:r w:rsidRPr="004B7699">
        <w:rPr>
          <w:color w:val="auto"/>
        </w:rPr>
        <w:t>обязании</w:t>
      </w:r>
      <w:proofErr w:type="spellEnd"/>
      <w:r w:rsidRPr="004B7699">
        <w:rPr>
          <w:color w:val="auto"/>
        </w:rPr>
        <w:t xml:space="preserve"> освобо</w:t>
      </w:r>
      <w:r w:rsidRPr="004B7699">
        <w:rPr>
          <w:color w:val="auto"/>
        </w:rPr>
        <w:t>дить земельный участок и привести его в первоначальное состояние, а также о взыскании судебной неустойки отказать в полном объёме.</w:t>
      </w:r>
    </w:p>
    <w:p w:rsidR="004D27C9" w:rsidRPr="004B7699" w:rsidRDefault="004D27C9">
      <w:pPr>
        <w:pBdr>
          <w:bottom w:val="single" w:sz="4" w:space="1" w:color="CBB39A"/>
        </w:pBdr>
        <w:spacing w:before="240" w:after="240"/>
        <w:rPr>
          <w:color w:val="auto"/>
        </w:rPr>
      </w:pPr>
    </w:p>
    <w:p w:rsidR="004D27C9" w:rsidRPr="004B7699" w:rsidRDefault="002763FB">
      <w:pPr>
        <w:spacing w:before="160" w:after="120"/>
        <w:rPr>
          <w:color w:val="auto"/>
        </w:rPr>
      </w:pPr>
      <w:r w:rsidRPr="004B7699">
        <w:rPr>
          <w:b/>
          <w:bCs/>
          <w:color w:val="auto"/>
        </w:rPr>
        <w:t>Приложения:</w:t>
      </w:r>
    </w:p>
    <w:p w:rsidR="004D27C9" w:rsidRPr="004B7699" w:rsidRDefault="002763FB">
      <w:pPr>
        <w:pStyle w:val="a4"/>
        <w:numPr>
          <w:ilvl w:val="0"/>
          <w:numId w:val="2"/>
        </w:numPr>
        <w:spacing w:after="60" w:line="288" w:lineRule="auto"/>
        <w:rPr>
          <w:color w:val="auto"/>
        </w:rPr>
      </w:pPr>
      <w:r w:rsidRPr="004B7699">
        <w:rPr>
          <w:color w:val="auto"/>
          <w:sz w:val="23"/>
          <w:szCs w:val="23"/>
        </w:rPr>
        <w:t>Документы, подтверждающие согласование строительства объектов (письма Арендодателя).</w:t>
      </w:r>
    </w:p>
    <w:p w:rsidR="004D27C9" w:rsidRPr="004B7699" w:rsidRDefault="002763FB">
      <w:pPr>
        <w:pStyle w:val="a4"/>
        <w:numPr>
          <w:ilvl w:val="0"/>
          <w:numId w:val="2"/>
        </w:numPr>
        <w:spacing w:after="60" w:line="288" w:lineRule="auto"/>
        <w:rPr>
          <w:color w:val="auto"/>
        </w:rPr>
      </w:pPr>
      <w:r w:rsidRPr="004B7699">
        <w:rPr>
          <w:color w:val="auto"/>
          <w:sz w:val="23"/>
          <w:szCs w:val="23"/>
        </w:rPr>
        <w:t>Выписки из ЕГРН о регистрац</w:t>
      </w:r>
      <w:r w:rsidRPr="004B7699">
        <w:rPr>
          <w:color w:val="auto"/>
          <w:sz w:val="23"/>
          <w:szCs w:val="23"/>
        </w:rPr>
        <w:t>ии права собственности на объекты.</w:t>
      </w:r>
    </w:p>
    <w:p w:rsidR="004D27C9" w:rsidRPr="004B7699" w:rsidRDefault="002763FB">
      <w:pPr>
        <w:pStyle w:val="a4"/>
        <w:numPr>
          <w:ilvl w:val="0"/>
          <w:numId w:val="2"/>
        </w:numPr>
        <w:spacing w:after="60" w:line="288" w:lineRule="auto"/>
        <w:rPr>
          <w:color w:val="auto"/>
        </w:rPr>
      </w:pPr>
      <w:r w:rsidRPr="004B7699">
        <w:rPr>
          <w:color w:val="auto"/>
          <w:sz w:val="23"/>
          <w:szCs w:val="23"/>
        </w:rPr>
        <w:t>Дополнительное соглашение к Договору.</w:t>
      </w:r>
    </w:p>
    <w:p w:rsidR="004D27C9" w:rsidRPr="004B7699" w:rsidRDefault="002763FB">
      <w:pPr>
        <w:pStyle w:val="a4"/>
        <w:numPr>
          <w:ilvl w:val="0"/>
          <w:numId w:val="2"/>
        </w:numPr>
        <w:spacing w:after="60" w:line="288" w:lineRule="auto"/>
        <w:rPr>
          <w:color w:val="auto"/>
        </w:rPr>
      </w:pPr>
      <w:r w:rsidRPr="004B7699">
        <w:rPr>
          <w:color w:val="auto"/>
          <w:sz w:val="23"/>
          <w:szCs w:val="23"/>
        </w:rPr>
        <w:t>Акты осмотра земельного участка.</w:t>
      </w:r>
    </w:p>
    <w:p w:rsidR="004D27C9" w:rsidRPr="004B7699" w:rsidRDefault="002763FB">
      <w:pPr>
        <w:pStyle w:val="a4"/>
        <w:numPr>
          <w:ilvl w:val="0"/>
          <w:numId w:val="2"/>
        </w:numPr>
        <w:spacing w:after="60" w:line="288" w:lineRule="auto"/>
        <w:rPr>
          <w:color w:val="auto"/>
        </w:rPr>
      </w:pPr>
      <w:r w:rsidRPr="004B7699">
        <w:rPr>
          <w:color w:val="auto"/>
          <w:sz w:val="23"/>
          <w:szCs w:val="23"/>
        </w:rPr>
        <w:t>Доверенность представителя.</w:t>
      </w:r>
    </w:p>
    <w:p w:rsidR="004D27C9" w:rsidRPr="004B7699" w:rsidRDefault="002763FB">
      <w:pPr>
        <w:spacing w:before="240" w:after="40"/>
        <w:rPr>
          <w:color w:val="auto"/>
        </w:rPr>
      </w:pPr>
      <w:r w:rsidRPr="004B7699">
        <w:rPr>
          <w:color w:val="auto"/>
          <w:sz w:val="23"/>
          <w:szCs w:val="23"/>
        </w:rPr>
        <w:t>[Должность, подпись, Ф. И. О.]</w:t>
      </w:r>
    </w:p>
    <w:p w:rsidR="004D27C9" w:rsidRPr="004B7699" w:rsidRDefault="002763FB">
      <w:pPr>
        <w:spacing w:before="40" w:after="40"/>
        <w:rPr>
          <w:color w:val="auto"/>
        </w:rPr>
      </w:pPr>
      <w:r w:rsidRPr="004B7699">
        <w:rPr>
          <w:color w:val="auto"/>
          <w:sz w:val="23"/>
          <w:szCs w:val="23"/>
        </w:rPr>
        <w:t>[Дата]</w:t>
      </w:r>
    </w:p>
    <w:p w:rsidR="004D27C9" w:rsidRPr="004B7699" w:rsidRDefault="004D27C9">
      <w:pPr>
        <w:pBdr>
          <w:bottom w:val="single" w:sz="4" w:space="1" w:color="CBB39A"/>
        </w:pBdr>
        <w:spacing w:before="240" w:after="240"/>
        <w:rPr>
          <w:color w:val="auto"/>
        </w:rPr>
      </w:pPr>
    </w:p>
    <w:p w:rsidR="004D27C9" w:rsidRPr="004B7699" w:rsidRDefault="002763FB">
      <w:pPr>
        <w:pBdr>
          <w:left w:val="single" w:sz="18" w:space="8" w:color="B0422A"/>
        </w:pBdr>
        <w:shd w:val="clear" w:color="auto" w:fill="F7EDDD"/>
        <w:spacing w:before="200" w:after="120" w:line="300" w:lineRule="auto"/>
        <w:ind w:left="200" w:right="120"/>
        <w:jc w:val="both"/>
        <w:rPr>
          <w:color w:val="auto"/>
        </w:rPr>
      </w:pPr>
      <w:r w:rsidRPr="004B7699">
        <w:rPr>
          <w:b/>
          <w:bCs/>
          <w:color w:val="auto"/>
          <w:sz w:val="22"/>
          <w:szCs w:val="22"/>
        </w:rPr>
        <w:t>Подборка судебной практики высших судов, использованной в отзыве:</w:t>
      </w:r>
      <w:r w:rsidRPr="004B7699">
        <w:rPr>
          <w:color w:val="auto"/>
          <w:sz w:val="22"/>
          <w:szCs w:val="22"/>
        </w:rPr>
        <w:t xml:space="preserve"> </w:t>
      </w:r>
      <w:hyperlink r:id="rId20" w:history="1">
        <w:r w:rsidRPr="004B7699">
          <w:rPr>
            <w:color w:val="auto"/>
            <w:sz w:val="22"/>
            <w:szCs w:val="22"/>
            <w:u w:val="single"/>
          </w:rPr>
          <w:t>интерактивный каталог</w:t>
        </w:r>
      </w:hyperlink>
      <w:r w:rsidRPr="004B7699">
        <w:rPr>
          <w:color w:val="auto"/>
          <w:sz w:val="22"/>
          <w:szCs w:val="22"/>
        </w:rPr>
        <w:t xml:space="preserve"> (полные тексты актов с возможностью выгрузки в DOCX и </w:t>
      </w:r>
      <w:proofErr w:type="spellStart"/>
      <w:r w:rsidRPr="004B7699">
        <w:rPr>
          <w:color w:val="auto"/>
          <w:sz w:val="22"/>
          <w:szCs w:val="22"/>
        </w:rPr>
        <w:t>Markdown</w:t>
      </w:r>
      <w:proofErr w:type="spellEnd"/>
      <w:r w:rsidRPr="004B7699">
        <w:rPr>
          <w:color w:val="auto"/>
          <w:sz w:val="22"/>
          <w:szCs w:val="22"/>
        </w:rPr>
        <w:t>).</w:t>
      </w:r>
    </w:p>
    <w:sectPr w:rsidR="004D27C9" w:rsidRPr="004B7699">
      <w:footerReference w:type="default" r:id="rId21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3FB" w:rsidRDefault="002763FB">
      <w:r>
        <w:separator/>
      </w:r>
    </w:p>
  </w:endnote>
  <w:endnote w:type="continuationSeparator" w:id="0">
    <w:p w:rsidR="002763FB" w:rsidRDefault="00276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7C9" w:rsidRDefault="002763FB">
    <w:pPr>
      <w:jc w:val="center"/>
    </w:pPr>
    <w:r>
      <w:rPr>
        <w:color w:val="9A9080"/>
        <w:sz w:val="18"/>
        <w:szCs w:val="18"/>
      </w:rPr>
      <w:fldChar w:fldCharType="begin"/>
    </w:r>
    <w:r>
      <w:rPr>
        <w:color w:val="9A9080"/>
        <w:sz w:val="18"/>
        <w:szCs w:val="18"/>
      </w:rPr>
      <w:instrText>PAGE</w:instrText>
    </w:r>
    <w:r w:rsidR="004B7699">
      <w:rPr>
        <w:color w:val="9A9080"/>
        <w:sz w:val="18"/>
        <w:szCs w:val="18"/>
      </w:rPr>
      <w:fldChar w:fldCharType="separate"/>
    </w:r>
    <w:r w:rsidR="00883C99">
      <w:rPr>
        <w:noProof/>
        <w:color w:val="9A9080"/>
        <w:sz w:val="18"/>
        <w:szCs w:val="18"/>
      </w:rPr>
      <w:t>6</w:t>
    </w:r>
    <w:r>
      <w:rPr>
        <w:color w:val="9A9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3FB" w:rsidRDefault="002763FB">
      <w:r>
        <w:separator/>
      </w:r>
    </w:p>
  </w:footnote>
  <w:footnote w:type="continuationSeparator" w:id="0">
    <w:p w:rsidR="002763FB" w:rsidRDefault="00276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043F1"/>
    <w:multiLevelType w:val="hybridMultilevel"/>
    <w:tmpl w:val="74F65F06"/>
    <w:lvl w:ilvl="0" w:tplc="E04AF4CC">
      <w:start w:val="1"/>
      <w:numFmt w:val="bullet"/>
      <w:lvlText w:val="●"/>
      <w:lvlJc w:val="left"/>
      <w:pPr>
        <w:ind w:left="720" w:hanging="360"/>
      </w:pPr>
    </w:lvl>
    <w:lvl w:ilvl="1" w:tplc="C1C42C40">
      <w:start w:val="1"/>
      <w:numFmt w:val="bullet"/>
      <w:lvlText w:val="○"/>
      <w:lvlJc w:val="left"/>
      <w:pPr>
        <w:ind w:left="1440" w:hanging="360"/>
      </w:pPr>
    </w:lvl>
    <w:lvl w:ilvl="2" w:tplc="DC288A6A">
      <w:start w:val="1"/>
      <w:numFmt w:val="bullet"/>
      <w:lvlText w:val="■"/>
      <w:lvlJc w:val="left"/>
      <w:pPr>
        <w:ind w:left="2160" w:hanging="360"/>
      </w:pPr>
    </w:lvl>
    <w:lvl w:ilvl="3" w:tplc="6B840634">
      <w:start w:val="1"/>
      <w:numFmt w:val="bullet"/>
      <w:lvlText w:val="●"/>
      <w:lvlJc w:val="left"/>
      <w:pPr>
        <w:ind w:left="2880" w:hanging="360"/>
      </w:pPr>
    </w:lvl>
    <w:lvl w:ilvl="4" w:tplc="5202A3BA">
      <w:start w:val="1"/>
      <w:numFmt w:val="bullet"/>
      <w:lvlText w:val="○"/>
      <w:lvlJc w:val="left"/>
      <w:pPr>
        <w:ind w:left="3600" w:hanging="360"/>
      </w:pPr>
    </w:lvl>
    <w:lvl w:ilvl="5" w:tplc="9928F884">
      <w:start w:val="1"/>
      <w:numFmt w:val="bullet"/>
      <w:lvlText w:val="■"/>
      <w:lvlJc w:val="left"/>
      <w:pPr>
        <w:ind w:left="4320" w:hanging="360"/>
      </w:pPr>
    </w:lvl>
    <w:lvl w:ilvl="6" w:tplc="97A044C6">
      <w:start w:val="1"/>
      <w:numFmt w:val="bullet"/>
      <w:lvlText w:val="●"/>
      <w:lvlJc w:val="left"/>
      <w:pPr>
        <w:ind w:left="5040" w:hanging="360"/>
      </w:pPr>
    </w:lvl>
    <w:lvl w:ilvl="7" w:tplc="E76A7E64">
      <w:start w:val="1"/>
      <w:numFmt w:val="bullet"/>
      <w:lvlText w:val="●"/>
      <w:lvlJc w:val="left"/>
      <w:pPr>
        <w:ind w:left="5760" w:hanging="360"/>
      </w:pPr>
    </w:lvl>
    <w:lvl w:ilvl="8" w:tplc="5AD2A5F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98510C1"/>
    <w:multiLevelType w:val="hybridMultilevel"/>
    <w:tmpl w:val="001C7E1A"/>
    <w:lvl w:ilvl="0" w:tplc="13A05E9A">
      <w:start w:val="1"/>
      <w:numFmt w:val="decimal"/>
      <w:lvlText w:val="%1."/>
      <w:lvlJc w:val="left"/>
      <w:pPr>
        <w:ind w:left="600" w:hanging="320"/>
      </w:pPr>
    </w:lvl>
    <w:lvl w:ilvl="1" w:tplc="9112E652">
      <w:numFmt w:val="decimal"/>
      <w:lvlText w:val=""/>
      <w:lvlJc w:val="left"/>
    </w:lvl>
    <w:lvl w:ilvl="2" w:tplc="5BCE7ABC">
      <w:numFmt w:val="decimal"/>
      <w:lvlText w:val=""/>
      <w:lvlJc w:val="left"/>
    </w:lvl>
    <w:lvl w:ilvl="3" w:tplc="05AA9240">
      <w:numFmt w:val="decimal"/>
      <w:lvlText w:val=""/>
      <w:lvlJc w:val="left"/>
    </w:lvl>
    <w:lvl w:ilvl="4" w:tplc="3A924154">
      <w:numFmt w:val="decimal"/>
      <w:lvlText w:val=""/>
      <w:lvlJc w:val="left"/>
    </w:lvl>
    <w:lvl w:ilvl="5" w:tplc="9AF2C7D0">
      <w:numFmt w:val="decimal"/>
      <w:lvlText w:val=""/>
      <w:lvlJc w:val="left"/>
    </w:lvl>
    <w:lvl w:ilvl="6" w:tplc="02140BDC">
      <w:numFmt w:val="decimal"/>
      <w:lvlText w:val=""/>
      <w:lvlJc w:val="left"/>
    </w:lvl>
    <w:lvl w:ilvl="7" w:tplc="7338BDCA">
      <w:numFmt w:val="decimal"/>
      <w:lvlText w:val=""/>
      <w:lvlJc w:val="left"/>
    </w:lvl>
    <w:lvl w:ilvl="8" w:tplc="98825C1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C9"/>
    <w:rsid w:val="002763FB"/>
    <w:rsid w:val="004B7699"/>
    <w:rsid w:val="004D27C9"/>
    <w:rsid w:val="0088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F491"/>
  <w15:docId w15:val="{7743E0A3-8E3E-4829-8A54-80341D7D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Georgia" w:hAnsi="Georgia" w:cs="Georgia"/>
        <w:color w:val="3A352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casus.legal/case/33830?t=MzM4MzA.evlTHM1FP8yr2-GXe5Vxj3A8ydI" TargetMode="External"/><Relationship Id="rId13" Type="http://schemas.openxmlformats.org/officeDocument/2006/relationships/hyperlink" Target="https://app.casus.legal/case/33753?t=MzM3NTM.aeieEN3xD8H0mimvhpO1H6uFXQ0" TargetMode="External"/><Relationship Id="rId18" Type="http://schemas.openxmlformats.org/officeDocument/2006/relationships/hyperlink" Target="https://app.casus.legal/case/27715?t=Mjc3MTU.IyUWrDIkuFNv1xVQSh9ZoCH9NfU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app.casus.legal/case/7315?t=NzMxNQ.d847Ej9hP-wPLlt2vIMRt0YUJzI" TargetMode="External"/><Relationship Id="rId12" Type="http://schemas.openxmlformats.org/officeDocument/2006/relationships/hyperlink" Target="https://app.casus.legal/case/11221?t=MTEyMjE.nwrfRKDuc7xLweWgl9_-Nc0qaBU" TargetMode="External"/><Relationship Id="rId17" Type="http://schemas.openxmlformats.org/officeDocument/2006/relationships/hyperlink" Target="https://app.casus.legal/case/34591?t=MzQ1OTE.UIntiON18hChGEOx9ZBkomCLBFc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p.casus.legal/case/7315?t=NzMxNQ.d847Ej9hP-wPLlt2vIMRt0YUJzI" TargetMode="External"/><Relationship Id="rId20" Type="http://schemas.openxmlformats.org/officeDocument/2006/relationships/hyperlink" Target="https://app.casus.legal/export/gnvylKzcsOjqxPMWgLaQH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p.casus.legal/case/10082?t=MTAwODI.pu0Y8ewIuxM2Fvy9InyNlNXnZZ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pp.casus.legal/case/34871?t=MzQ4NzE.OGGKId7dXiJy60cRZ0pLK0XerQQ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pp.casus.legal/case/35057?t=MzUwNTc.SjhOic6sEAJFjdcVFD8dNpo-aMg" TargetMode="External"/><Relationship Id="rId19" Type="http://schemas.openxmlformats.org/officeDocument/2006/relationships/hyperlink" Target="https://app.casus.legal/case/27712?t=Mjc3MTI.aHgaf2tsvBI6KHQ2ge5Wn1T36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.casus.legal/case/29467?t=Mjk0Njc.qHCwhMvqG4e0mxaEFlqEBXixybE" TargetMode="External"/><Relationship Id="rId14" Type="http://schemas.openxmlformats.org/officeDocument/2006/relationships/hyperlink" Target="https://app.casus.legal/case/34863?t=MzQ4NjM.vLI-i5mDFL5w_hMipoUgwNOARK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1986</Words>
  <Characters>11323</Characters>
  <Application>Microsoft Office Word</Application>
  <DocSecurity>0</DocSecurity>
  <Lines>94</Lines>
  <Paragraphs>26</Paragraphs>
  <ScaleCrop>false</ScaleCrop>
  <Company>AO SUEK</Company>
  <LinksUpToDate>false</LinksUpToDate>
  <CharactersWithSpaces>13283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Трубицын Кирилл Андреевич \ Kirill Trubitcyn</cp:lastModifiedBy>
  <cp:revision>3</cp:revision>
  <dcterms:created xsi:type="dcterms:W3CDTF">2026-06-19T10:29:00Z</dcterms:created>
  <dcterms:modified xsi:type="dcterms:W3CDTF">2026-06-23T13:22:00Z</dcterms:modified>
</cp:coreProperties>
</file>