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AD124" w14:textId="77777777" w:rsidR="00834638" w:rsidRPr="00834638" w:rsidRDefault="00834638" w:rsidP="00834638">
      <w:pPr>
        <w:jc w:val="both"/>
      </w:pPr>
      <w:r w:rsidRPr="00834638">
        <w:t>Используй коннектор Казус лигал и скилл Практика под тезисы.</w:t>
      </w:r>
    </w:p>
    <w:p w14:paraId="0F0628A0" w14:textId="557BDF82" w:rsidR="00834638" w:rsidRPr="00834638" w:rsidRDefault="00834638" w:rsidP="00834638">
      <w:pPr>
        <w:jc w:val="both"/>
      </w:pPr>
      <w:r w:rsidRPr="00834638">
        <w:t xml:space="preserve">Задача: обосновать </w:t>
      </w:r>
      <w:r>
        <w:rPr>
          <w:lang w:val="ru-RU"/>
        </w:rPr>
        <w:t xml:space="preserve">или опровергнуть </w:t>
      </w:r>
      <w:r w:rsidRPr="00834638">
        <w:t>ссылками на судебную практику следующие утверждения:</w:t>
      </w:r>
    </w:p>
    <w:p w14:paraId="7A512DBB" w14:textId="77777777" w:rsidR="00834638" w:rsidRPr="00834638" w:rsidRDefault="00834638" w:rsidP="00834638">
      <w:pPr>
        <w:numPr>
          <w:ilvl w:val="0"/>
          <w:numId w:val="1"/>
        </w:numPr>
        <w:jc w:val="both"/>
      </w:pPr>
      <w:r w:rsidRPr="00834638">
        <w:t>при залоге земельного участка залог автоматически также распространяется на всё, что будет построено на участке;</w:t>
      </w:r>
    </w:p>
    <w:p w14:paraId="17545433" w14:textId="77777777" w:rsidR="00834638" w:rsidRPr="00834638" w:rsidRDefault="00834638" w:rsidP="00834638">
      <w:pPr>
        <w:numPr>
          <w:ilvl w:val="0"/>
          <w:numId w:val="1"/>
        </w:numPr>
        <w:jc w:val="both"/>
      </w:pPr>
      <w:r w:rsidRPr="00834638">
        <w:t>залог здания, которое построено и введено в эксплуатацию, но право на которое еще не зарегистрировано, возникнет с момента регистрации;</w:t>
      </w:r>
    </w:p>
    <w:p w14:paraId="192EE659" w14:textId="77777777" w:rsidR="00834638" w:rsidRPr="00834638" w:rsidRDefault="00834638" w:rsidP="00834638">
      <w:pPr>
        <w:numPr>
          <w:ilvl w:val="0"/>
          <w:numId w:val="1"/>
        </w:numPr>
        <w:jc w:val="both"/>
      </w:pPr>
      <w:r w:rsidRPr="00834638">
        <w:t>однако в случае банкротства залогодателя залогодержатель может установить свое требование в реестре кредиторов даже до регистрации права собственности на здание;</w:t>
      </w:r>
    </w:p>
    <w:p w14:paraId="37479230" w14:textId="77777777" w:rsidR="00834638" w:rsidRPr="00834638" w:rsidRDefault="00834638" w:rsidP="00834638">
      <w:pPr>
        <w:numPr>
          <w:ilvl w:val="0"/>
          <w:numId w:val="1"/>
        </w:numPr>
        <w:jc w:val="both"/>
      </w:pPr>
      <w:r w:rsidRPr="00834638">
        <w:t>если в здании смонтировано оборудование, принадлежащее другому лицу, отделить которое невозможно, то оно также будет считаться находящимся в залоге</w:t>
      </w:r>
    </w:p>
    <w:p w14:paraId="4BC6E15E" w14:textId="77777777" w:rsidR="00834638" w:rsidRDefault="00834638" w:rsidP="00834638">
      <w:pPr>
        <w:jc w:val="both"/>
        <w:rPr>
          <w:lang w:val="ru-RU"/>
        </w:rPr>
      </w:pPr>
    </w:p>
    <w:p w14:paraId="2B66878E" w14:textId="729B52DD" w:rsidR="00EB0E7D" w:rsidRDefault="00834638" w:rsidP="00834638">
      <w:pPr>
        <w:jc w:val="both"/>
        <w:rPr>
          <w:lang w:val="ru-RU"/>
        </w:rPr>
      </w:pPr>
      <w:r>
        <w:rPr>
          <w:lang w:val="ru-RU"/>
        </w:rPr>
        <w:t>Ответ:</w:t>
      </w:r>
    </w:p>
    <w:p w14:paraId="54FFC74A" w14:textId="77777777" w:rsidR="00834638" w:rsidRPr="00834638" w:rsidRDefault="00834638" w:rsidP="00834638">
      <w:pPr>
        <w:jc w:val="both"/>
        <w:rPr>
          <w:b/>
          <w:bCs/>
        </w:rPr>
      </w:pPr>
      <w:r w:rsidRPr="00834638">
        <w:rPr>
          <w:b/>
          <w:bCs/>
        </w:rPr>
        <w:t>Практика высших судов РФ под тезисы о залоге земельного участка, возводимого здания и смонтированного оборудования</w:t>
      </w:r>
    </w:p>
    <w:p w14:paraId="738D477C" w14:textId="77777777" w:rsidR="00834638" w:rsidRPr="00834638" w:rsidRDefault="00834638" w:rsidP="00834638">
      <w:pPr>
        <w:jc w:val="both"/>
      </w:pPr>
      <w:r w:rsidRPr="00834638">
        <w:t>Источник — коннектор «Высшие суды» (практика КС РФ, ВС РФ, ВАС РФ). По каждому тезису — раздельно подтверждающая и опровергающая/ограничивающая практика. По тезису 4 в базе коннектора нет профильного залогового акта — см. оговорку в соответствующем блоке.</w:t>
      </w:r>
    </w:p>
    <w:p w14:paraId="0DFC4594" w14:textId="77777777" w:rsidR="00834638" w:rsidRPr="00834638" w:rsidRDefault="00834638" w:rsidP="00834638">
      <w:pPr>
        <w:jc w:val="both"/>
      </w:pPr>
      <w:r w:rsidRPr="00834638">
        <w:pict w14:anchorId="15C890EA">
          <v:rect id="_x0000_i1125" style="width:0;height:1.5pt" o:hralign="center" o:hrstd="t" o:hr="t" fillcolor="#a0a0a0" stroked="f"/>
        </w:pict>
      </w:r>
    </w:p>
    <w:p w14:paraId="2205F70A" w14:textId="77777777" w:rsidR="00834638" w:rsidRPr="00834638" w:rsidRDefault="00834638" w:rsidP="00834638">
      <w:pPr>
        <w:jc w:val="both"/>
        <w:rPr>
          <w:b/>
          <w:bCs/>
        </w:rPr>
      </w:pPr>
      <w:r w:rsidRPr="00834638">
        <w:rPr>
          <w:b/>
          <w:bCs/>
        </w:rPr>
        <w:t>ТЕЗИС 1. При залоге (ипотеке) земельного участка залог распространяется на возведённые на нём объекты</w:t>
      </w:r>
    </w:p>
    <w:p w14:paraId="59E2FDEB" w14:textId="77777777" w:rsidR="00834638" w:rsidRPr="00834638" w:rsidRDefault="00834638" w:rsidP="00834638">
      <w:pPr>
        <w:jc w:val="both"/>
      </w:pPr>
      <w:r w:rsidRPr="00834638">
        <w:rPr>
          <w:b/>
          <w:bCs/>
        </w:rPr>
        <w:t>Нормы:</w:t>
      </w:r>
      <w:r w:rsidRPr="00834638">
        <w:t xml:space="preserve"> п. 1 ст. 65 Закона об ипотеке; подп. 5 п. 1 ст. 1 ЗК РФ; ст. 340 ГК РФ.</w:t>
      </w:r>
    </w:p>
    <w:p w14:paraId="7433FE8E" w14:textId="77777777" w:rsidR="00834638" w:rsidRPr="00834638" w:rsidRDefault="00834638" w:rsidP="00834638">
      <w:pPr>
        <w:jc w:val="both"/>
      </w:pPr>
      <w:r w:rsidRPr="00834638">
        <w:rPr>
          <w:b/>
          <w:bCs/>
        </w:rPr>
        <w:t>ПОДТВЕРЖДАЮЩАЯ ПРАКТИКА</w:t>
      </w:r>
    </w:p>
    <w:p w14:paraId="09B973CB" w14:textId="77777777" w:rsidR="00834638" w:rsidRPr="00834638" w:rsidRDefault="00834638" w:rsidP="00834638">
      <w:pPr>
        <w:jc w:val="both"/>
      </w:pPr>
      <w:r w:rsidRPr="00834638">
        <w:t xml:space="preserve">— </w:t>
      </w:r>
      <w:hyperlink r:id="rId5" w:history="1">
        <w:r w:rsidRPr="00834638">
          <w:rPr>
            <w:rStyle w:val="ac"/>
          </w:rPr>
          <w:t>Обзор судебной практики по спорам об установлении требований залогодержателей при банкротстве залогодателей, п. 9 — Президиум ВС РФ</w:t>
        </w:r>
      </w:hyperlink>
      <w:r w:rsidRPr="00834638">
        <w:br/>
        <w:t>Суть: при ипотеке участка требование считается обеспеченным залогом и самого участка, и правомерно возведённого на нём после заключения договора объекта; правило основано на принципе единства судьбы (подп. 5 п. 1 ст. 1 ЗК РФ).</w:t>
      </w:r>
      <w:r w:rsidRPr="00834638">
        <w:br/>
        <w:t>Цитата: «При ипотеке земельного участка для целей включения требования залогодателя в реестр оно считается обеспеченным залогом как самого участка, так и объекта незавершенного строительства, правомерно возведенного на данном участке после заключения договора об ипотеке».</w:t>
      </w:r>
    </w:p>
    <w:p w14:paraId="2A9BDCEF" w14:textId="77777777" w:rsidR="00834638" w:rsidRPr="00834638" w:rsidRDefault="00834638" w:rsidP="00834638">
      <w:pPr>
        <w:jc w:val="both"/>
      </w:pPr>
      <w:r w:rsidRPr="00834638">
        <w:lastRenderedPageBreak/>
        <w:t xml:space="preserve">— </w:t>
      </w:r>
      <w:hyperlink r:id="rId6" w:history="1">
        <w:r w:rsidRPr="00834638">
          <w:rPr>
            <w:rStyle w:val="ac"/>
          </w:rPr>
          <w:t>Постановление Пленума ВС РФ от 27.06.2023 № 23 «О применении судами правил о залоге вещей», п. 23</w:t>
        </w:r>
      </w:hyperlink>
      <w:r w:rsidRPr="00834638">
        <w:br/>
        <w:t>Суть: при реконструкции, переработке или ином изменении предмета залога, в том числе при создании нового имущества залогодателя, залог сохраняется, если иное не установлено законом или соглашением сторон.</w:t>
      </w:r>
      <w:r w:rsidRPr="00834638">
        <w:br/>
        <w:t>Цитата: «В случае реконструкции предмета залога, его переработки или иного изменения, в том числе в результате которых создано или возникло новое имущество, принадлежащее залогодателю, залог сохраняется, если иное не установлено законом или соглашением сторон».</w:t>
      </w:r>
    </w:p>
    <w:p w14:paraId="38777A6B" w14:textId="77777777" w:rsidR="00834638" w:rsidRPr="00834638" w:rsidRDefault="00834638" w:rsidP="00834638">
      <w:pPr>
        <w:jc w:val="both"/>
      </w:pPr>
      <w:r w:rsidRPr="00834638">
        <w:t xml:space="preserve">— </w:t>
      </w:r>
      <w:hyperlink r:id="rId7" w:history="1">
        <w:r w:rsidRPr="00834638">
          <w:rPr>
            <w:rStyle w:val="ac"/>
          </w:rPr>
          <w:t>Информационное письмо Президиума ВАС РФ от 28.01.2005 № 90 «Обзор практики рассмотрения арбитражными судами споров, связанных с договором об ипотеке», п. 1</w:t>
        </w:r>
      </w:hyperlink>
      <w:r w:rsidRPr="00834638">
        <w:br/>
        <w:t>Суть (история вопроса): если предметом ипотеки был объект незавершённого строительства, по окончании строительства ипотека сохраняет силу и её предметом становится возведённое здание (сооружение).</w:t>
      </w:r>
    </w:p>
    <w:p w14:paraId="5AA01A2F" w14:textId="77777777" w:rsidR="00834638" w:rsidRPr="00834638" w:rsidRDefault="00834638" w:rsidP="00834638">
      <w:pPr>
        <w:jc w:val="both"/>
      </w:pPr>
      <w:r w:rsidRPr="00834638">
        <w:rPr>
          <w:b/>
          <w:bCs/>
        </w:rPr>
        <w:t>ОПРОВЕРГАЮЩАЯ / ОГРАНИЧИВАЮЩАЯ ПРАКТИКА</w:t>
      </w:r>
    </w:p>
    <w:p w14:paraId="4B196992" w14:textId="77777777" w:rsidR="00834638" w:rsidRPr="00834638" w:rsidRDefault="00834638" w:rsidP="00834638">
      <w:pPr>
        <w:jc w:val="both"/>
      </w:pPr>
      <w:r w:rsidRPr="00834638">
        <w:t xml:space="preserve">— Тот же </w:t>
      </w:r>
      <w:hyperlink r:id="rId8" w:history="1">
        <w:r w:rsidRPr="00834638">
          <w:rPr>
            <w:rStyle w:val="ac"/>
          </w:rPr>
          <w:t>п. 9 Обзора</w:t>
        </w:r>
      </w:hyperlink>
      <w:r w:rsidRPr="00834638">
        <w:t xml:space="preserve"> и </w:t>
      </w:r>
      <w:hyperlink r:id="rId9" w:history="1">
        <w:r w:rsidRPr="00834638">
          <w:rPr>
            <w:rStyle w:val="ac"/>
          </w:rPr>
          <w:t>п. 23 Пленума № 23</w:t>
        </w:r>
      </w:hyperlink>
      <w:r w:rsidRPr="00834638">
        <w:t xml:space="preserve"> формулируют правило диспозитивно: распространение действует «по общему правилу», «если иное не установлено законом или соглашением сторон». То есть договором ипотеки или законом охват возводимого объекта может быть исключён. Самостоятельной практики высших судов, отрицающей распространение залога участка на возведённый объект, в базе коннектора не выявлено — найденная оговорка ограничивает, а не опровергает тезис.</w:t>
      </w:r>
    </w:p>
    <w:p w14:paraId="28F3E07B" w14:textId="77777777" w:rsidR="00834638" w:rsidRPr="00834638" w:rsidRDefault="00834638" w:rsidP="00834638">
      <w:pPr>
        <w:jc w:val="both"/>
      </w:pPr>
      <w:r w:rsidRPr="00834638">
        <w:pict w14:anchorId="4A6C1322">
          <v:rect id="_x0000_i1126" style="width:0;height:1.5pt" o:hralign="center" o:hrstd="t" o:hr="t" fillcolor="#a0a0a0" stroked="f"/>
        </w:pict>
      </w:r>
    </w:p>
    <w:p w14:paraId="2EF78B60" w14:textId="77777777" w:rsidR="00834638" w:rsidRPr="00834638" w:rsidRDefault="00834638" w:rsidP="00834638">
      <w:pPr>
        <w:jc w:val="both"/>
        <w:rPr>
          <w:b/>
          <w:bCs/>
        </w:rPr>
      </w:pPr>
      <w:r w:rsidRPr="00834638">
        <w:rPr>
          <w:b/>
          <w:bCs/>
        </w:rPr>
        <w:t>ТЕЗИС 2. Залог построенного и введённого в эксплуатацию здания, право на которое не зарегистрировано, возникает с момента регистрации</w:t>
      </w:r>
    </w:p>
    <w:p w14:paraId="69AAC0A8" w14:textId="77777777" w:rsidR="00834638" w:rsidRPr="00834638" w:rsidRDefault="00834638" w:rsidP="00834638">
      <w:pPr>
        <w:jc w:val="both"/>
      </w:pPr>
      <w:r w:rsidRPr="00834638">
        <w:rPr>
          <w:b/>
          <w:bCs/>
        </w:rPr>
        <w:t>Нормы:</w:t>
      </w:r>
      <w:r w:rsidRPr="00834638">
        <w:t xml:space="preserve"> ст. 8.1, 131, 219, 339.1 ГК РФ; ст. 11 Закона об ипотеке.</w:t>
      </w:r>
    </w:p>
    <w:p w14:paraId="56ADE49E" w14:textId="77777777" w:rsidR="00834638" w:rsidRPr="00834638" w:rsidRDefault="00834638" w:rsidP="00834638">
      <w:pPr>
        <w:jc w:val="both"/>
      </w:pPr>
      <w:r w:rsidRPr="00834638">
        <w:rPr>
          <w:b/>
          <w:bCs/>
        </w:rPr>
        <w:t>ПОДТВЕРЖДАЮЩАЯ ПРАКТИКА</w:t>
      </w:r>
    </w:p>
    <w:p w14:paraId="68285757" w14:textId="77777777" w:rsidR="00834638" w:rsidRPr="00834638" w:rsidRDefault="00834638" w:rsidP="00834638">
      <w:pPr>
        <w:jc w:val="both"/>
      </w:pPr>
      <w:r w:rsidRPr="00834638">
        <w:t xml:space="preserve">— </w:t>
      </w:r>
      <w:hyperlink r:id="rId10" w:history="1">
        <w:r w:rsidRPr="00834638">
          <w:rPr>
            <w:rStyle w:val="ac"/>
          </w:rPr>
          <w:t>Постановление Пленума ВС РФ от 27.06.2023 № 23, п. 16</w:t>
        </w:r>
      </w:hyperlink>
      <w:r w:rsidRPr="00834638">
        <w:br/>
        <w:t>Суть: ипотека как обременение возникает с момента государственной регистрации либо с момента возникновения обеспеченного обязательства, если оно возникло после внесения записи об ипотеке в ЕГРН.</w:t>
      </w:r>
      <w:r w:rsidRPr="00834638">
        <w:br/>
        <w:t>Цитата: «Залог недвижимой вещи (ипотека) подлежит государственной регистрации и как обременение считается возникшим с момента такой регистрации (статья 8.1, абзац первый пункта 1 статьи 339.1 ГК РФ, пункт 2 статьи 11 Закона об ипотеке) или с момента возникновения обязательства, обеспеченного ипотекой, если оно возникло после внесения в Единый государственный реестр недвижимости (далее - ЕГРН) записи об ипотеке (пункт 3 статьи 11 Закона об ипотеке)».</w:t>
      </w:r>
    </w:p>
    <w:p w14:paraId="6EAB8B8E" w14:textId="77777777" w:rsidR="00834638" w:rsidRPr="00834638" w:rsidRDefault="00834638" w:rsidP="00834638">
      <w:pPr>
        <w:jc w:val="both"/>
      </w:pPr>
      <w:r w:rsidRPr="00834638">
        <w:t xml:space="preserve">— </w:t>
      </w:r>
      <w:hyperlink r:id="rId11" w:history="1">
        <w:r w:rsidRPr="00834638">
          <w:rPr>
            <w:rStyle w:val="ac"/>
          </w:rPr>
          <w:t>Постановление Пленума ВС РФ от 27.06.2023 № 23, п. 24</w:t>
        </w:r>
      </w:hyperlink>
      <w:r w:rsidRPr="00834638">
        <w:br/>
        <w:t xml:space="preserve">Суть: предполагает регистрацию права на правомерно возведённый объект как </w:t>
      </w:r>
      <w:r w:rsidRPr="00834638">
        <w:lastRenderedPageBreak/>
        <w:t>предпосылку установления и обращения взыскания на залог; при уклонении залогодателя регистрация производится по решению суда по иску залогодержателя.</w:t>
      </w:r>
      <w:r w:rsidRPr="00834638">
        <w:br/>
        <w:t>Цитата: «Залогодатель обязан зарегистрировать право собственности на правомерно возведенный объект недвижимого имущества (в том числе на объект незавершенного строительства), в отношении которого должен быть установлен залог на основании закона и возникли основания для обращения взыскания».</w:t>
      </w:r>
    </w:p>
    <w:p w14:paraId="4615B674" w14:textId="77777777" w:rsidR="00834638" w:rsidRPr="00834638" w:rsidRDefault="00834638" w:rsidP="00834638">
      <w:pPr>
        <w:jc w:val="both"/>
      </w:pPr>
      <w:r w:rsidRPr="00834638">
        <w:rPr>
          <w:b/>
          <w:bCs/>
        </w:rPr>
        <w:t>ОПРОВЕРГАЮЩАЯ / ОГРАНИЧИВАЮЩАЯ ПРАКТИКА</w:t>
      </w:r>
    </w:p>
    <w:p w14:paraId="4A056153" w14:textId="77777777" w:rsidR="00834638" w:rsidRPr="00834638" w:rsidRDefault="00834638" w:rsidP="00834638">
      <w:pPr>
        <w:jc w:val="both"/>
      </w:pPr>
      <w:r w:rsidRPr="00834638">
        <w:t xml:space="preserve">— Прямого опровержения момента возникновения обременения в базе коннектора не найдено. Ограничение носит технический характер: тот же </w:t>
      </w:r>
      <w:hyperlink r:id="rId12" w:history="1">
        <w:r w:rsidRPr="00834638">
          <w:rPr>
            <w:rStyle w:val="ac"/>
          </w:rPr>
          <w:t>п. 16 Пленума № 23</w:t>
        </w:r>
      </w:hyperlink>
      <w:r w:rsidRPr="00834638">
        <w:t xml:space="preserve"> отделяет момент заключения договора ипотеки от момента возникновения обременения — договор может считаться заключённым ранее регистрации, тогда как само обременение возникает с регистрации. Это не противоречит тезису, а уточняет его.</w:t>
      </w:r>
    </w:p>
    <w:p w14:paraId="4B73772E" w14:textId="77777777" w:rsidR="00834638" w:rsidRPr="00834638" w:rsidRDefault="00834638" w:rsidP="00834638">
      <w:pPr>
        <w:jc w:val="both"/>
      </w:pPr>
      <w:r w:rsidRPr="00834638">
        <w:pict w14:anchorId="2F26ED0C">
          <v:rect id="_x0000_i1127" style="width:0;height:1.5pt" o:hralign="center" o:hrstd="t" o:hr="t" fillcolor="#a0a0a0" stroked="f"/>
        </w:pict>
      </w:r>
    </w:p>
    <w:p w14:paraId="27B00B3C" w14:textId="77777777" w:rsidR="00834638" w:rsidRPr="00834638" w:rsidRDefault="00834638" w:rsidP="00834638">
      <w:pPr>
        <w:jc w:val="both"/>
        <w:rPr>
          <w:b/>
          <w:bCs/>
        </w:rPr>
      </w:pPr>
      <w:r w:rsidRPr="00834638">
        <w:rPr>
          <w:b/>
          <w:bCs/>
        </w:rPr>
        <w:t>ТЕЗИС 3. В банкротстве залогодателя требование может быть установлено в реестре до регистрации права на здание</w:t>
      </w:r>
    </w:p>
    <w:p w14:paraId="27ABC960" w14:textId="77777777" w:rsidR="00834638" w:rsidRPr="00834638" w:rsidRDefault="00834638" w:rsidP="00834638">
      <w:pPr>
        <w:jc w:val="both"/>
      </w:pPr>
      <w:r w:rsidRPr="00834638">
        <w:rPr>
          <w:b/>
          <w:bCs/>
        </w:rPr>
        <w:t>Нормы:</w:t>
      </w:r>
      <w:r w:rsidRPr="00834638">
        <w:t xml:space="preserve"> п. 1 ст. 6 ГК РФ; ст. 138 Закона о банкротстве; ч. 5 ст. 13 Закона об участии в долевом строительстве.</w:t>
      </w:r>
    </w:p>
    <w:p w14:paraId="045933C8" w14:textId="77777777" w:rsidR="00834638" w:rsidRPr="00834638" w:rsidRDefault="00834638" w:rsidP="00834638">
      <w:pPr>
        <w:jc w:val="both"/>
      </w:pPr>
      <w:r w:rsidRPr="00834638">
        <w:rPr>
          <w:b/>
          <w:bCs/>
        </w:rPr>
        <w:t>ПОДТВЕРЖДАЮЩАЯ ПРАКТИКА</w:t>
      </w:r>
    </w:p>
    <w:p w14:paraId="6D243334" w14:textId="77777777" w:rsidR="00834638" w:rsidRPr="00834638" w:rsidRDefault="00834638" w:rsidP="00834638">
      <w:pPr>
        <w:jc w:val="both"/>
      </w:pPr>
      <w:r w:rsidRPr="00834638">
        <w:t xml:space="preserve">— </w:t>
      </w:r>
      <w:hyperlink r:id="rId13" w:history="1">
        <w:r w:rsidRPr="00834638">
          <w:rPr>
            <w:rStyle w:val="ac"/>
          </w:rPr>
          <w:t>Обзор судебной практики по спорам об установлении требований залогодержателей при банкротстве залогодателей, п. 9 — Президиум ВС РФ</w:t>
        </w:r>
      </w:hyperlink>
      <w:r w:rsidRPr="00834638">
        <w:br/>
        <w:t>Суть: отсутствие регистрации права должника на возведённый объект не препятствует признанию требования обеспеченным залогом этого объекта, если доказано его соответствие признакам недвижимости; на кредитора не возлагаются последствия бездействия должника по регистрации, конкурсный управляющий обязывается совершить регистрационные действия.</w:t>
      </w:r>
      <w:r w:rsidRPr="00834638">
        <w:br/>
        <w:t>Цитата: «на кредитора не могут быть возложены негативные последствия несовершения несостоятельным должником действий по регистрации прав на принадлежащий ему объект незавершенного строительства при возникновении оснований для обращения взыскания на предмет залога».</w:t>
      </w:r>
    </w:p>
    <w:p w14:paraId="20CD50E5" w14:textId="77777777" w:rsidR="00834638" w:rsidRPr="00834638" w:rsidRDefault="00834638" w:rsidP="00834638">
      <w:pPr>
        <w:jc w:val="both"/>
      </w:pPr>
      <w:r w:rsidRPr="00834638">
        <w:t xml:space="preserve">— </w:t>
      </w:r>
      <w:hyperlink r:id="rId14" w:history="1">
        <w:r w:rsidRPr="00834638">
          <w:rPr>
            <w:rStyle w:val="ac"/>
          </w:rPr>
          <w:t>Постановление Пленума ВС РФ от 27.06.2023 № 23, п. 24</w:t>
        </w:r>
      </w:hyperlink>
      <w:r w:rsidRPr="00834638">
        <w:br/>
        <w:t>Суть: механизм судебной регистрации права на возведённый объект по иску залогодержателя при уклонении залогодателя — процессуальная опора для установления и реализации залога без предварительной регистрации самим должником.</w:t>
      </w:r>
    </w:p>
    <w:p w14:paraId="7FA53688" w14:textId="77777777" w:rsidR="00834638" w:rsidRPr="00834638" w:rsidRDefault="00834638" w:rsidP="00834638">
      <w:pPr>
        <w:jc w:val="both"/>
      </w:pPr>
      <w:r w:rsidRPr="00834638">
        <w:t xml:space="preserve">— </w:t>
      </w:r>
      <w:hyperlink r:id="rId15" w:history="1">
        <w:r w:rsidRPr="00834638">
          <w:rPr>
            <w:rStyle w:val="ac"/>
          </w:rPr>
          <w:t>Постановление Пленума ВАС РФ от 23.07.2009 № 58 «О некоторых вопросах, связанных с удовлетворением требований залогодержателя при банкротстве залогодателя»</w:t>
        </w:r>
      </w:hyperlink>
      <w:r w:rsidRPr="00834638">
        <w:br/>
      </w:r>
      <w:r w:rsidRPr="00834638">
        <w:lastRenderedPageBreak/>
        <w:t>Суть (история вопроса): общий порядок установления требований залоговых кредиторов в деле о банкротстве залогодателя.</w:t>
      </w:r>
    </w:p>
    <w:p w14:paraId="0029FB58" w14:textId="77777777" w:rsidR="00834638" w:rsidRPr="00834638" w:rsidRDefault="00834638" w:rsidP="00834638">
      <w:pPr>
        <w:jc w:val="both"/>
      </w:pPr>
      <w:r w:rsidRPr="00834638">
        <w:rPr>
          <w:b/>
          <w:bCs/>
        </w:rPr>
        <w:t>ОПРОВЕРГАЮЩАЯ / ОГРАНИЧИВАЮЩАЯ ПРАКТИКА</w:t>
      </w:r>
    </w:p>
    <w:p w14:paraId="659BFCDD" w14:textId="77777777" w:rsidR="00834638" w:rsidRPr="00834638" w:rsidRDefault="00834638" w:rsidP="00834638">
      <w:pPr>
        <w:jc w:val="both"/>
      </w:pPr>
      <w:r w:rsidRPr="00834638">
        <w:t xml:space="preserve">— Ограничение содержится в самом </w:t>
      </w:r>
      <w:hyperlink r:id="rId16" w:history="1">
        <w:r w:rsidRPr="00834638">
          <w:rPr>
            <w:rStyle w:val="ac"/>
          </w:rPr>
          <w:t>п. 9 Обзора</w:t>
        </w:r>
      </w:hyperlink>
      <w:r w:rsidRPr="00834638">
        <w:t>: установление требования обусловлено представлением достаточных доказательств соответствия объекта признакам недвижимого имущества (за исключением регистрации права). Это условие применения правила, а не опровергающая позиция. Самостоятельной практики, отрицающей возможность установления требования до регистрации, в базе коннектора не выявлено.</w:t>
      </w:r>
    </w:p>
    <w:p w14:paraId="2C409656" w14:textId="77777777" w:rsidR="00834638" w:rsidRPr="00834638" w:rsidRDefault="00834638" w:rsidP="00834638">
      <w:pPr>
        <w:jc w:val="both"/>
      </w:pPr>
      <w:r w:rsidRPr="00834638">
        <w:pict w14:anchorId="0360BC35">
          <v:rect id="_x0000_i1128" style="width:0;height:1.5pt" o:hralign="center" o:hrstd="t" o:hr="t" fillcolor="#a0a0a0" stroked="f"/>
        </w:pict>
      </w:r>
    </w:p>
    <w:p w14:paraId="44D42042" w14:textId="77777777" w:rsidR="00834638" w:rsidRPr="00834638" w:rsidRDefault="00834638" w:rsidP="00834638">
      <w:pPr>
        <w:jc w:val="both"/>
        <w:rPr>
          <w:b/>
          <w:bCs/>
        </w:rPr>
      </w:pPr>
      <w:r w:rsidRPr="00834638">
        <w:rPr>
          <w:b/>
          <w:bCs/>
        </w:rPr>
        <w:t>ТЕЗИС 4. Неотделимое оборудование, принадлежащее другому лицу и смонтированное в здании, считается находящимся в залоге</w:t>
      </w:r>
    </w:p>
    <w:p w14:paraId="18E6549A" w14:textId="77777777" w:rsidR="00834638" w:rsidRPr="00834638" w:rsidRDefault="00834638" w:rsidP="00834638">
      <w:pPr>
        <w:jc w:val="both"/>
      </w:pPr>
      <w:r w:rsidRPr="00834638">
        <w:rPr>
          <w:b/>
          <w:bCs/>
        </w:rPr>
        <w:t>Нормы:</w:t>
      </w:r>
      <w:r w:rsidRPr="00834638">
        <w:t xml:space="preserve"> ст. 133, 134, 135, 340 ГК РФ.</w:t>
      </w:r>
    </w:p>
    <w:p w14:paraId="57485C81" w14:textId="77777777" w:rsidR="00834638" w:rsidRPr="00834638" w:rsidRDefault="00834638" w:rsidP="00834638">
      <w:pPr>
        <w:jc w:val="both"/>
      </w:pPr>
      <w:r w:rsidRPr="00834638">
        <w:rPr>
          <w:b/>
          <w:bCs/>
        </w:rPr>
        <w:t>Оговорка.</w:t>
      </w:r>
      <w:r w:rsidRPr="00834638">
        <w:t xml:space="preserve"> Прямого акта высших судов о том, что неотделимое оборудование, принадлежащее третьему лицу и смонтированное в заложенном здании, охватывается ипотекой этого здания, в базе коннектора не обнаружено. Ниже — лишь косвенно относящиеся акты; их применимость к описанной ситуации ограничена, и переносить их на тезис следует с осторожностью.</w:t>
      </w:r>
    </w:p>
    <w:p w14:paraId="0E11A26C" w14:textId="77777777" w:rsidR="00834638" w:rsidRPr="00834638" w:rsidRDefault="00834638" w:rsidP="00834638">
      <w:pPr>
        <w:jc w:val="both"/>
      </w:pPr>
      <w:r w:rsidRPr="00834638">
        <w:rPr>
          <w:b/>
          <w:bCs/>
        </w:rPr>
        <w:t>ПОДТВЕРЖДАЮЩАЯ (КОСВЕННО) ПРАКТИКА</w:t>
      </w:r>
    </w:p>
    <w:p w14:paraId="5590CFBE" w14:textId="77777777" w:rsidR="00834638" w:rsidRPr="00834638" w:rsidRDefault="00834638" w:rsidP="00834638">
      <w:pPr>
        <w:jc w:val="both"/>
      </w:pPr>
      <w:r w:rsidRPr="00834638">
        <w:t xml:space="preserve">— </w:t>
      </w:r>
      <w:hyperlink r:id="rId17" w:history="1">
        <w:r w:rsidRPr="00834638">
          <w:rPr>
            <w:rStyle w:val="ac"/>
          </w:rPr>
          <w:t>Постановление Пленума ВС РФ от 27.06.2023 № 23, п. 23</w:t>
        </w:r>
      </w:hyperlink>
      <w:r w:rsidRPr="00834638">
        <w:br/>
        <w:t>Суть: при изменении предмета залога, включая создание нового имущества, залог сохраняется. Касается имущества залогодателя, а не чужого оборудования — к тезису применимо лишь по аналогии в части идеи неизменности залога при изменении состава вещи.</w:t>
      </w:r>
    </w:p>
    <w:p w14:paraId="2F7E82F1" w14:textId="77777777" w:rsidR="00834638" w:rsidRPr="00834638" w:rsidRDefault="00834638" w:rsidP="00834638">
      <w:pPr>
        <w:jc w:val="both"/>
      </w:pPr>
      <w:r w:rsidRPr="00834638">
        <w:t xml:space="preserve">— </w:t>
      </w:r>
      <w:hyperlink r:id="rId18" w:history="1">
        <w:r w:rsidRPr="00834638">
          <w:rPr>
            <w:rStyle w:val="ac"/>
          </w:rPr>
          <w:t>Определение СКЭС ВС РФ от 27.02.2024 № 305-ЭС23-490 по делу № А41-41906/2021</w:t>
        </w:r>
      </w:hyperlink>
      <w:r w:rsidRPr="00834638">
        <w:br/>
        <w:t>Суть: вещь-принадлежность, предназначенная для обслуживания главной вещи, следует судьбе главной вещи (ст. 135 ГК РФ). Институт принадлежности предполагает принадлежность тому же лицу, поэтому к чужому оборудованию правило прямо не переносится.</w:t>
      </w:r>
    </w:p>
    <w:p w14:paraId="23722601" w14:textId="77777777" w:rsidR="00834638" w:rsidRPr="00834638" w:rsidRDefault="00834638" w:rsidP="00834638">
      <w:pPr>
        <w:jc w:val="both"/>
      </w:pPr>
      <w:r w:rsidRPr="00834638">
        <w:t xml:space="preserve">— </w:t>
      </w:r>
      <w:hyperlink r:id="rId19" w:history="1">
        <w:r w:rsidRPr="00834638">
          <w:rPr>
            <w:rStyle w:val="ac"/>
          </w:rPr>
          <w:t>Постановление Пленума ВС РФ от 23.06.2015 № 25, пп. 38–39</w:t>
        </w:r>
      </w:hyperlink>
      <w:r w:rsidRPr="00834638">
        <w:br/>
        <w:t>Суть: признаки недвижимой вещи и единого недвижимого комплекса (ст. 130, 133.1 ГК РФ). Опора для квалификации неотделимого оборудования как составной части недвижимой вещи (ст. 133 ГК РФ), а не самостоятельного объекта.</w:t>
      </w:r>
    </w:p>
    <w:p w14:paraId="6D28AEA8" w14:textId="77777777" w:rsidR="00834638" w:rsidRPr="00834638" w:rsidRDefault="00834638" w:rsidP="00834638">
      <w:pPr>
        <w:jc w:val="both"/>
      </w:pPr>
      <w:r w:rsidRPr="00834638">
        <w:t xml:space="preserve">— </w:t>
      </w:r>
      <w:hyperlink r:id="rId20" w:history="1">
        <w:r w:rsidRPr="00834638">
          <w:rPr>
            <w:rStyle w:val="ac"/>
          </w:rPr>
          <w:t>Тематический обзор ВС РФ № 4/2026 о налогообложении имущества организаций, п. 2</w:t>
        </w:r>
      </w:hyperlink>
      <w:r w:rsidRPr="00834638">
        <w:t xml:space="preserve"> (</w:t>
      </w:r>
      <w:hyperlink r:id="rId21" w:history="1">
        <w:r w:rsidRPr="00834638">
          <w:rPr>
            <w:rStyle w:val="ac"/>
          </w:rPr>
          <w:t>обзор целиком</w:t>
        </w:r>
      </w:hyperlink>
      <w:r w:rsidRPr="00834638">
        <w:t>)</w:t>
      </w:r>
      <w:r w:rsidRPr="00834638">
        <w:br/>
        <w:t xml:space="preserve">Суть: критерии отнесения технологически связанного со зданием оборудования к неделимой/сложной вещи (ст. 133, 134 ГК РФ). Контекст — налог на имущество, а не </w:t>
      </w:r>
      <w:r w:rsidRPr="00834638">
        <w:lastRenderedPageBreak/>
        <w:t>залог; для залоговой квалификации применим лишь как общегражданский критерий состава вещи.</w:t>
      </w:r>
    </w:p>
    <w:p w14:paraId="4CC14902" w14:textId="77777777" w:rsidR="00834638" w:rsidRPr="00834638" w:rsidRDefault="00834638" w:rsidP="00834638">
      <w:pPr>
        <w:jc w:val="both"/>
      </w:pPr>
      <w:r w:rsidRPr="00834638">
        <w:rPr>
          <w:b/>
          <w:bCs/>
        </w:rPr>
        <w:t>ОПРОВЕРГАЮЩАЯ / ОГРАНИЧИВАЮЩАЯ ПРАКТИКА</w:t>
      </w:r>
    </w:p>
    <w:p w14:paraId="2E1AB3CF" w14:textId="77777777" w:rsidR="00834638" w:rsidRPr="00834638" w:rsidRDefault="00834638" w:rsidP="00834638">
      <w:pPr>
        <w:jc w:val="both"/>
      </w:pPr>
      <w:r w:rsidRPr="00834638">
        <w:t>— Та же группа актов работает и как ограничение: оборудование охватывается режимом недвижимой вещи только при условии неотделимости и утраты самостоятельного существования (ст. 133 ГК РФ); отделимое или функционально самостоятельное оборудование остаётся отдельным объектом и сохраняет принадлежность своему собственнику. Принадлежность третьему лицу — самостоятельное препятствие для распространения залога, прямо не разрешённое практикой высших судов в базе коннектора.</w:t>
      </w:r>
    </w:p>
    <w:p w14:paraId="5170DD1F" w14:textId="77777777" w:rsidR="00834638" w:rsidRPr="00834638" w:rsidRDefault="00834638" w:rsidP="00834638">
      <w:pPr>
        <w:jc w:val="both"/>
      </w:pPr>
      <w:r w:rsidRPr="00834638">
        <w:pict w14:anchorId="3120DE60">
          <v:rect id="_x0000_i1129" style="width:0;height:1.5pt" o:hralign="center" o:hrstd="t" o:hr="t" fillcolor="#a0a0a0" stroked="f"/>
        </w:pict>
      </w:r>
    </w:p>
    <w:p w14:paraId="71DFCEB1" w14:textId="77777777" w:rsidR="00834638" w:rsidRPr="00834638" w:rsidRDefault="00834638" w:rsidP="00834638">
      <w:pPr>
        <w:jc w:val="both"/>
        <w:rPr>
          <w:b/>
          <w:bCs/>
        </w:rPr>
      </w:pPr>
      <w:r w:rsidRPr="00834638">
        <w:rPr>
          <w:b/>
          <w:bCs/>
        </w:rPr>
        <w:t>Сводка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7"/>
        <w:gridCol w:w="2868"/>
        <w:gridCol w:w="4500"/>
      </w:tblGrid>
      <w:tr w:rsidR="00834638" w:rsidRPr="00834638" w14:paraId="459FFE2D" w14:textId="77777777">
        <w:trPr>
          <w:tblHeader/>
          <w:tblCellSpacing w:w="15" w:type="dxa"/>
        </w:trPr>
        <w:tc>
          <w:tcPr>
            <w:tcW w:w="0" w:type="auto"/>
            <w:vAlign w:val="center"/>
            <w:hideMark/>
          </w:tcPr>
          <w:p w14:paraId="320953BD" w14:textId="77777777" w:rsidR="00834638" w:rsidRPr="00834638" w:rsidRDefault="00834638" w:rsidP="00834638">
            <w:pPr>
              <w:jc w:val="both"/>
              <w:rPr>
                <w:b/>
                <w:bCs/>
              </w:rPr>
            </w:pPr>
            <w:r w:rsidRPr="00834638">
              <w:rPr>
                <w:b/>
                <w:bCs/>
              </w:rPr>
              <w:t>Тезис</w:t>
            </w:r>
          </w:p>
        </w:tc>
        <w:tc>
          <w:tcPr>
            <w:tcW w:w="0" w:type="auto"/>
            <w:vAlign w:val="center"/>
            <w:hideMark/>
          </w:tcPr>
          <w:p w14:paraId="2ADE41D1" w14:textId="77777777" w:rsidR="00834638" w:rsidRPr="00834638" w:rsidRDefault="00834638" w:rsidP="00834638">
            <w:pPr>
              <w:jc w:val="both"/>
              <w:rPr>
                <w:b/>
                <w:bCs/>
              </w:rPr>
            </w:pPr>
            <w:r w:rsidRPr="00834638">
              <w:rPr>
                <w:b/>
                <w:bCs/>
              </w:rPr>
              <w:t>Подтверждающая практика</w:t>
            </w:r>
          </w:p>
        </w:tc>
        <w:tc>
          <w:tcPr>
            <w:tcW w:w="0" w:type="auto"/>
            <w:vAlign w:val="center"/>
            <w:hideMark/>
          </w:tcPr>
          <w:p w14:paraId="2B8FC5B2" w14:textId="77777777" w:rsidR="00834638" w:rsidRPr="00834638" w:rsidRDefault="00834638" w:rsidP="00834638">
            <w:pPr>
              <w:jc w:val="both"/>
              <w:rPr>
                <w:b/>
                <w:bCs/>
              </w:rPr>
            </w:pPr>
            <w:r w:rsidRPr="00834638">
              <w:rPr>
                <w:b/>
                <w:bCs/>
              </w:rPr>
              <w:t>Опровергающая/ограничивающая</w:t>
            </w:r>
          </w:p>
        </w:tc>
      </w:tr>
      <w:tr w:rsidR="00834638" w:rsidRPr="00834638" w14:paraId="69C00B4B" w14:textId="77777777">
        <w:trPr>
          <w:tblCellSpacing w:w="15" w:type="dxa"/>
        </w:trPr>
        <w:tc>
          <w:tcPr>
            <w:tcW w:w="0" w:type="auto"/>
            <w:vAlign w:val="center"/>
            <w:hideMark/>
          </w:tcPr>
          <w:p w14:paraId="25E6ED40" w14:textId="77777777" w:rsidR="00834638" w:rsidRPr="00834638" w:rsidRDefault="00834638" w:rsidP="00834638">
            <w:pPr>
              <w:jc w:val="both"/>
            </w:pPr>
            <w:r w:rsidRPr="00834638">
              <w:t>1. Ипотека участка → возводимые объекты</w:t>
            </w:r>
          </w:p>
        </w:tc>
        <w:tc>
          <w:tcPr>
            <w:tcW w:w="0" w:type="auto"/>
            <w:vAlign w:val="center"/>
            <w:hideMark/>
          </w:tcPr>
          <w:p w14:paraId="27286F1E" w14:textId="77777777" w:rsidR="00834638" w:rsidRPr="00834638" w:rsidRDefault="00834638" w:rsidP="00834638">
            <w:pPr>
              <w:jc w:val="both"/>
            </w:pPr>
            <w:r w:rsidRPr="00834638">
              <w:t>да (Обзор п. 9; Пленум № 23 п. 23; письмо ВАС № 90)</w:t>
            </w:r>
          </w:p>
        </w:tc>
        <w:tc>
          <w:tcPr>
            <w:tcW w:w="0" w:type="auto"/>
            <w:vAlign w:val="center"/>
            <w:hideMark/>
          </w:tcPr>
          <w:p w14:paraId="553B9495" w14:textId="77777777" w:rsidR="00834638" w:rsidRPr="00834638" w:rsidRDefault="00834638" w:rsidP="00834638">
            <w:pPr>
              <w:jc w:val="both"/>
            </w:pPr>
            <w:r w:rsidRPr="00834638">
              <w:t>оговорка о диспозитивности; обратного правила нет</w:t>
            </w:r>
          </w:p>
        </w:tc>
      </w:tr>
      <w:tr w:rsidR="00834638" w:rsidRPr="00834638" w14:paraId="6BBFFCE2" w14:textId="77777777">
        <w:trPr>
          <w:tblCellSpacing w:w="15" w:type="dxa"/>
        </w:trPr>
        <w:tc>
          <w:tcPr>
            <w:tcW w:w="0" w:type="auto"/>
            <w:vAlign w:val="center"/>
            <w:hideMark/>
          </w:tcPr>
          <w:p w14:paraId="077E1D0F" w14:textId="77777777" w:rsidR="00834638" w:rsidRPr="00834638" w:rsidRDefault="00834638" w:rsidP="00834638">
            <w:pPr>
              <w:jc w:val="both"/>
            </w:pPr>
            <w:r w:rsidRPr="00834638">
              <w:t>2. Залог здания возникает с регистрацией</w:t>
            </w:r>
          </w:p>
        </w:tc>
        <w:tc>
          <w:tcPr>
            <w:tcW w:w="0" w:type="auto"/>
            <w:vAlign w:val="center"/>
            <w:hideMark/>
          </w:tcPr>
          <w:p w14:paraId="0C2D6FA4" w14:textId="77777777" w:rsidR="00834638" w:rsidRPr="00834638" w:rsidRDefault="00834638" w:rsidP="00834638">
            <w:pPr>
              <w:jc w:val="both"/>
            </w:pPr>
            <w:r w:rsidRPr="00834638">
              <w:t>да (Пленум № 23 пп. 16, 24)</w:t>
            </w:r>
          </w:p>
        </w:tc>
        <w:tc>
          <w:tcPr>
            <w:tcW w:w="0" w:type="auto"/>
            <w:vAlign w:val="center"/>
            <w:hideMark/>
          </w:tcPr>
          <w:p w14:paraId="462099FB" w14:textId="77777777" w:rsidR="00834638" w:rsidRPr="00834638" w:rsidRDefault="00834638" w:rsidP="00834638">
            <w:pPr>
              <w:jc w:val="both"/>
            </w:pPr>
            <w:r w:rsidRPr="00834638">
              <w:t>прямого опровержения нет</w:t>
            </w:r>
          </w:p>
        </w:tc>
      </w:tr>
      <w:tr w:rsidR="00834638" w:rsidRPr="00834638" w14:paraId="35CA990F" w14:textId="77777777">
        <w:trPr>
          <w:tblCellSpacing w:w="15" w:type="dxa"/>
        </w:trPr>
        <w:tc>
          <w:tcPr>
            <w:tcW w:w="0" w:type="auto"/>
            <w:vAlign w:val="center"/>
            <w:hideMark/>
          </w:tcPr>
          <w:p w14:paraId="3F556DFA" w14:textId="77777777" w:rsidR="00834638" w:rsidRPr="00834638" w:rsidRDefault="00834638" w:rsidP="00834638">
            <w:pPr>
              <w:jc w:val="both"/>
            </w:pPr>
            <w:r w:rsidRPr="00834638">
              <w:t>3. В банкротстве — реестр до регистрации права</w:t>
            </w:r>
          </w:p>
        </w:tc>
        <w:tc>
          <w:tcPr>
            <w:tcW w:w="0" w:type="auto"/>
            <w:vAlign w:val="center"/>
            <w:hideMark/>
          </w:tcPr>
          <w:p w14:paraId="4B68DDAC" w14:textId="77777777" w:rsidR="00834638" w:rsidRPr="00834638" w:rsidRDefault="00834638" w:rsidP="00834638">
            <w:pPr>
              <w:jc w:val="both"/>
            </w:pPr>
            <w:r w:rsidRPr="00834638">
              <w:t>да (Обзор п. 9; Пленум № 23 п. 24; Пленум ВАС № 58)</w:t>
            </w:r>
          </w:p>
        </w:tc>
        <w:tc>
          <w:tcPr>
            <w:tcW w:w="0" w:type="auto"/>
            <w:vAlign w:val="center"/>
            <w:hideMark/>
          </w:tcPr>
          <w:p w14:paraId="110CDEC3" w14:textId="77777777" w:rsidR="00834638" w:rsidRPr="00834638" w:rsidRDefault="00834638" w:rsidP="00834638">
            <w:pPr>
              <w:jc w:val="both"/>
            </w:pPr>
            <w:r w:rsidRPr="00834638">
              <w:t>условие доказывания признаков недвижимости</w:t>
            </w:r>
          </w:p>
        </w:tc>
      </w:tr>
      <w:tr w:rsidR="00834638" w:rsidRPr="00834638" w14:paraId="6AC01109" w14:textId="77777777">
        <w:trPr>
          <w:tblCellSpacing w:w="15" w:type="dxa"/>
        </w:trPr>
        <w:tc>
          <w:tcPr>
            <w:tcW w:w="0" w:type="auto"/>
            <w:vAlign w:val="center"/>
            <w:hideMark/>
          </w:tcPr>
          <w:p w14:paraId="385EB376" w14:textId="77777777" w:rsidR="00834638" w:rsidRPr="00834638" w:rsidRDefault="00834638" w:rsidP="00834638">
            <w:pPr>
              <w:jc w:val="both"/>
            </w:pPr>
            <w:r w:rsidRPr="00834638">
              <w:t>4. Неотделимое чужое оборудование в залоге</w:t>
            </w:r>
          </w:p>
        </w:tc>
        <w:tc>
          <w:tcPr>
            <w:tcW w:w="0" w:type="auto"/>
            <w:vAlign w:val="center"/>
            <w:hideMark/>
          </w:tcPr>
          <w:p w14:paraId="241775A2" w14:textId="77777777" w:rsidR="00834638" w:rsidRPr="00834638" w:rsidRDefault="00834638" w:rsidP="00834638">
            <w:pPr>
              <w:jc w:val="both"/>
            </w:pPr>
            <w:r w:rsidRPr="00834638">
              <w:t>прямого акта нет; косвенно — ст. 133/135 ГК, № 305-ЭС23-490, Пленум № 25 пп. 38–39</w:t>
            </w:r>
          </w:p>
        </w:tc>
        <w:tc>
          <w:tcPr>
            <w:tcW w:w="0" w:type="auto"/>
            <w:vAlign w:val="center"/>
            <w:hideMark/>
          </w:tcPr>
          <w:p w14:paraId="3308916F" w14:textId="77777777" w:rsidR="00834638" w:rsidRPr="00834638" w:rsidRDefault="00834638" w:rsidP="00834638">
            <w:pPr>
              <w:jc w:val="both"/>
            </w:pPr>
            <w:r w:rsidRPr="00834638">
              <w:t>неотделимость и принадлежность третьему лицу — нерешённое ограничение</w:t>
            </w:r>
          </w:p>
        </w:tc>
      </w:tr>
    </w:tbl>
    <w:p w14:paraId="655A6B92" w14:textId="77777777" w:rsidR="00834638" w:rsidRPr="00834638" w:rsidRDefault="00834638" w:rsidP="00834638">
      <w:pPr>
        <w:jc w:val="both"/>
        <w:rPr>
          <w:b/>
          <w:bCs/>
        </w:rPr>
      </w:pPr>
      <w:r w:rsidRPr="00834638">
        <w:rPr>
          <w:b/>
          <w:bCs/>
        </w:rPr>
        <w:t>Источники</w:t>
      </w:r>
    </w:p>
    <w:p w14:paraId="58DDB00E" w14:textId="77777777" w:rsidR="00834638" w:rsidRPr="00834638" w:rsidRDefault="00834638" w:rsidP="00834638">
      <w:pPr>
        <w:numPr>
          <w:ilvl w:val="0"/>
          <w:numId w:val="2"/>
        </w:numPr>
        <w:jc w:val="both"/>
      </w:pPr>
      <w:hyperlink r:id="rId22" w:history="1">
        <w:r w:rsidRPr="00834638">
          <w:rPr>
            <w:rStyle w:val="ac"/>
          </w:rPr>
          <w:t>Обзор судебной практики по спорам об установлении требований залогодержателей при банкротстве залогодателей, п. 9 — Президиум ВС РФ</w:t>
        </w:r>
      </w:hyperlink>
    </w:p>
    <w:p w14:paraId="4BB7F821" w14:textId="77777777" w:rsidR="00834638" w:rsidRPr="00834638" w:rsidRDefault="00834638" w:rsidP="00834638">
      <w:pPr>
        <w:numPr>
          <w:ilvl w:val="0"/>
          <w:numId w:val="2"/>
        </w:numPr>
        <w:jc w:val="both"/>
      </w:pPr>
      <w:hyperlink r:id="rId23" w:history="1">
        <w:r w:rsidRPr="00834638">
          <w:rPr>
            <w:rStyle w:val="ac"/>
          </w:rPr>
          <w:t>Постановление Пленума ВС РФ от 27.06.2023 № 23 «О применении судами правил о залоге вещей»</w:t>
        </w:r>
      </w:hyperlink>
    </w:p>
    <w:p w14:paraId="6BB6EB2B" w14:textId="77777777" w:rsidR="00834638" w:rsidRPr="00834638" w:rsidRDefault="00834638" w:rsidP="00834638">
      <w:pPr>
        <w:numPr>
          <w:ilvl w:val="0"/>
          <w:numId w:val="2"/>
        </w:numPr>
        <w:jc w:val="both"/>
      </w:pPr>
      <w:hyperlink r:id="rId24" w:history="1">
        <w:r w:rsidRPr="00834638">
          <w:rPr>
            <w:rStyle w:val="ac"/>
          </w:rPr>
          <w:t>Постановление Пленума ВС РФ от 23.06.2015 № 25</w:t>
        </w:r>
      </w:hyperlink>
    </w:p>
    <w:p w14:paraId="6368C103" w14:textId="77777777" w:rsidR="00834638" w:rsidRPr="00834638" w:rsidRDefault="00834638" w:rsidP="00834638">
      <w:pPr>
        <w:numPr>
          <w:ilvl w:val="0"/>
          <w:numId w:val="2"/>
        </w:numPr>
        <w:jc w:val="both"/>
      </w:pPr>
      <w:hyperlink r:id="rId25" w:history="1">
        <w:r w:rsidRPr="00834638">
          <w:rPr>
            <w:rStyle w:val="ac"/>
          </w:rPr>
          <w:t>Определение СКЭС ВС РФ от 27.02.2024 № 305-ЭС23-490 по делу № А41-41906/2021</w:t>
        </w:r>
      </w:hyperlink>
    </w:p>
    <w:p w14:paraId="44C17B9D" w14:textId="77777777" w:rsidR="00834638" w:rsidRPr="00834638" w:rsidRDefault="00834638" w:rsidP="00834638">
      <w:pPr>
        <w:numPr>
          <w:ilvl w:val="0"/>
          <w:numId w:val="2"/>
        </w:numPr>
        <w:jc w:val="both"/>
      </w:pPr>
      <w:hyperlink r:id="rId26" w:history="1">
        <w:r w:rsidRPr="00834638">
          <w:rPr>
            <w:rStyle w:val="ac"/>
          </w:rPr>
          <w:t>Тематический обзор ВС РФ № 4/2026 о налогообложении имущества организаций (п. 2)</w:t>
        </w:r>
      </w:hyperlink>
      <w:r w:rsidRPr="00834638">
        <w:t xml:space="preserve">; </w:t>
      </w:r>
      <w:hyperlink r:id="rId27" w:history="1">
        <w:r w:rsidRPr="00834638">
          <w:rPr>
            <w:rStyle w:val="ac"/>
          </w:rPr>
          <w:t>обзор целиком</w:t>
        </w:r>
      </w:hyperlink>
    </w:p>
    <w:p w14:paraId="4DB0029D" w14:textId="77777777" w:rsidR="00834638" w:rsidRPr="00834638" w:rsidRDefault="00834638" w:rsidP="00834638">
      <w:pPr>
        <w:numPr>
          <w:ilvl w:val="0"/>
          <w:numId w:val="2"/>
        </w:numPr>
        <w:jc w:val="both"/>
      </w:pPr>
      <w:hyperlink r:id="rId28" w:history="1">
        <w:r w:rsidRPr="00834638">
          <w:rPr>
            <w:rStyle w:val="ac"/>
          </w:rPr>
          <w:t>Постановление Пленума ВАС РФ от 23.07.2009 № 58 «О некоторых вопросах, связанных с удовлетворением требований залогодержателя при банкротстве залогодателя»</w:t>
        </w:r>
      </w:hyperlink>
    </w:p>
    <w:p w14:paraId="74610CEF" w14:textId="77777777" w:rsidR="00834638" w:rsidRPr="00834638" w:rsidRDefault="00834638" w:rsidP="00834638">
      <w:pPr>
        <w:numPr>
          <w:ilvl w:val="0"/>
          <w:numId w:val="2"/>
        </w:numPr>
        <w:jc w:val="both"/>
      </w:pPr>
      <w:hyperlink r:id="rId29" w:history="1">
        <w:r w:rsidRPr="00834638">
          <w:rPr>
            <w:rStyle w:val="ac"/>
          </w:rPr>
          <w:t>Информационное письмо Президиума ВАС РФ от 28.01.2005 № 90 «Обзор практики рассмотрения арбитражными судами споров, связанных с договором об ипотеке»</w:t>
        </w:r>
      </w:hyperlink>
    </w:p>
    <w:p w14:paraId="4A3A2D1A" w14:textId="77777777" w:rsidR="00834638" w:rsidRPr="00834638" w:rsidRDefault="00834638" w:rsidP="00834638">
      <w:pPr>
        <w:jc w:val="both"/>
      </w:pPr>
      <w:r w:rsidRPr="00834638">
        <w:t>По тезисам 1–3 практика обеспечена актами ВС РФ уровня Пленума и обзора Президиума. По тезису 4 профильного залогового акта высших судов в базе коннектора нет; приведённые акты обосновывают лишь общегражданскую квалификацию неотделимого оборудования как составной части недвижимой вещи, а принадлежность оборудования третьему лицу остаётся неразрешённым в практике ограничением.</w:t>
      </w:r>
    </w:p>
    <w:p w14:paraId="55C1BA6C" w14:textId="77777777" w:rsidR="00834638" w:rsidRPr="00834638" w:rsidRDefault="00834638" w:rsidP="00834638">
      <w:pPr>
        <w:jc w:val="both"/>
      </w:pPr>
    </w:p>
    <w:sectPr w:rsidR="00834638" w:rsidRPr="008346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8C3C3D"/>
    <w:multiLevelType w:val="multilevel"/>
    <w:tmpl w:val="7D10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6862C0"/>
    <w:multiLevelType w:val="multilevel"/>
    <w:tmpl w:val="768C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891855">
    <w:abstractNumId w:val="0"/>
  </w:num>
  <w:num w:numId="2" w16cid:durableId="111486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38"/>
    <w:rsid w:val="00834638"/>
    <w:rsid w:val="0088361B"/>
    <w:rsid w:val="00AF35F2"/>
    <w:rsid w:val="00D223B1"/>
    <w:rsid w:val="00EB0E7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B22F2"/>
  <w15:chartTrackingRefBased/>
  <w15:docId w15:val="{8CFB980B-5751-441F-A26B-4F8CC4EE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346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346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3463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3463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3463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3463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3463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463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3463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463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3463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3463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3463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3463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3463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34638"/>
    <w:rPr>
      <w:rFonts w:eastAsiaTheme="majorEastAsia" w:cstheme="majorBidi"/>
      <w:color w:val="595959" w:themeColor="text1" w:themeTint="A6"/>
    </w:rPr>
  </w:style>
  <w:style w:type="character" w:customStyle="1" w:styleId="80">
    <w:name w:val="Заголовок 8 Знак"/>
    <w:basedOn w:val="a0"/>
    <w:link w:val="8"/>
    <w:uiPriority w:val="9"/>
    <w:semiHidden/>
    <w:rsid w:val="0083463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34638"/>
    <w:rPr>
      <w:rFonts w:eastAsiaTheme="majorEastAsia" w:cstheme="majorBidi"/>
      <w:color w:val="272727" w:themeColor="text1" w:themeTint="D8"/>
    </w:rPr>
  </w:style>
  <w:style w:type="paragraph" w:styleId="a3">
    <w:name w:val="Title"/>
    <w:basedOn w:val="a"/>
    <w:next w:val="a"/>
    <w:link w:val="a4"/>
    <w:uiPriority w:val="10"/>
    <w:qFormat/>
    <w:rsid w:val="008346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346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463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3463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34638"/>
    <w:pPr>
      <w:spacing w:before="160"/>
      <w:jc w:val="center"/>
    </w:pPr>
    <w:rPr>
      <w:i/>
      <w:iCs/>
      <w:color w:val="404040" w:themeColor="text1" w:themeTint="BF"/>
    </w:rPr>
  </w:style>
  <w:style w:type="character" w:customStyle="1" w:styleId="22">
    <w:name w:val="Цитата 2 Знак"/>
    <w:basedOn w:val="a0"/>
    <w:link w:val="21"/>
    <w:uiPriority w:val="29"/>
    <w:rsid w:val="00834638"/>
    <w:rPr>
      <w:i/>
      <w:iCs/>
      <w:color w:val="404040" w:themeColor="text1" w:themeTint="BF"/>
    </w:rPr>
  </w:style>
  <w:style w:type="paragraph" w:styleId="a7">
    <w:name w:val="List Paragraph"/>
    <w:basedOn w:val="a"/>
    <w:uiPriority w:val="34"/>
    <w:qFormat/>
    <w:rsid w:val="00834638"/>
    <w:pPr>
      <w:ind w:left="720"/>
      <w:contextualSpacing/>
    </w:pPr>
  </w:style>
  <w:style w:type="character" w:styleId="a8">
    <w:name w:val="Intense Emphasis"/>
    <w:basedOn w:val="a0"/>
    <w:uiPriority w:val="21"/>
    <w:qFormat/>
    <w:rsid w:val="00834638"/>
    <w:rPr>
      <w:i/>
      <w:iCs/>
      <w:color w:val="0F4761" w:themeColor="accent1" w:themeShade="BF"/>
    </w:rPr>
  </w:style>
  <w:style w:type="paragraph" w:styleId="a9">
    <w:name w:val="Intense Quote"/>
    <w:basedOn w:val="a"/>
    <w:next w:val="a"/>
    <w:link w:val="aa"/>
    <w:uiPriority w:val="30"/>
    <w:qFormat/>
    <w:rsid w:val="008346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34638"/>
    <w:rPr>
      <w:i/>
      <w:iCs/>
      <w:color w:val="0F4761" w:themeColor="accent1" w:themeShade="BF"/>
    </w:rPr>
  </w:style>
  <w:style w:type="character" w:styleId="ab">
    <w:name w:val="Intense Reference"/>
    <w:basedOn w:val="a0"/>
    <w:uiPriority w:val="32"/>
    <w:qFormat/>
    <w:rsid w:val="00834638"/>
    <w:rPr>
      <w:b/>
      <w:bCs/>
      <w:smallCaps/>
      <w:color w:val="0F4761" w:themeColor="accent1" w:themeShade="BF"/>
      <w:spacing w:val="5"/>
    </w:rPr>
  </w:style>
  <w:style w:type="character" w:styleId="ac">
    <w:name w:val="Hyperlink"/>
    <w:basedOn w:val="a0"/>
    <w:uiPriority w:val="99"/>
    <w:unhideWhenUsed/>
    <w:rsid w:val="00834638"/>
    <w:rPr>
      <w:color w:val="467886" w:themeColor="hyperlink"/>
      <w:u w:val="single"/>
    </w:rPr>
  </w:style>
  <w:style w:type="character" w:styleId="ad">
    <w:name w:val="Unresolved Mention"/>
    <w:basedOn w:val="a0"/>
    <w:uiPriority w:val="99"/>
    <w:semiHidden/>
    <w:unhideWhenUsed/>
    <w:rsid w:val="00834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casus.legal/case/36141?t=MzYxNDE.ajjbFg.j705qSgl_3yydl22c3wR1tumWC8" TargetMode="External"/><Relationship Id="rId13" Type="http://schemas.openxmlformats.org/officeDocument/2006/relationships/hyperlink" Target="https://app.casus.legal/case/36141?t=MzYxNDE.ajjbFg.j705qSgl_3yydl22c3wR1tumWC8" TargetMode="External"/><Relationship Id="rId18" Type="http://schemas.openxmlformats.org/officeDocument/2006/relationships/hyperlink" Target="https://app.casus.legal/case/34456?t=MzQ0NTY.ajjbbA.DiTKAIkuH6447fX2xliUqcoHAUA" TargetMode="External"/><Relationship Id="rId26" Type="http://schemas.openxmlformats.org/officeDocument/2006/relationships/hyperlink" Target="https://app.casus.legal/case/36885?t=MzY4ODU.ajjbWg.JLJcDkYx48OT3x5k7WtI3-TQwqQ" TargetMode="External"/><Relationship Id="rId3" Type="http://schemas.openxmlformats.org/officeDocument/2006/relationships/settings" Target="settings.xml"/><Relationship Id="rId21" Type="http://schemas.openxmlformats.org/officeDocument/2006/relationships/hyperlink" Target="https://app.casus.legal/case/35493?t=MzU0OTM.ajjbWg.KlrjspZTnAAUh3JOtPZP78hB1NU" TargetMode="External"/><Relationship Id="rId7" Type="http://schemas.openxmlformats.org/officeDocument/2006/relationships/hyperlink" Target="https://app.casus.legal/case/72?t=NzI.ajjbFg.r2sD-mk0UC0nCmqWVWf02FvHKxA" TargetMode="External"/><Relationship Id="rId12" Type="http://schemas.openxmlformats.org/officeDocument/2006/relationships/hyperlink" Target="https://app.casus.legal/case/34601?t=MzQ2MDE.ajjbFg.SeyIZFEwx7IXhxLv--6_8DZbR3I" TargetMode="External"/><Relationship Id="rId17" Type="http://schemas.openxmlformats.org/officeDocument/2006/relationships/hyperlink" Target="https://app.casus.legal/case/34601?t=MzQ2MDE.ajjbFg.SeyIZFEwx7IXhxLv--6_8DZbR3I" TargetMode="External"/><Relationship Id="rId25" Type="http://schemas.openxmlformats.org/officeDocument/2006/relationships/hyperlink" Target="https://app.casus.legal/case/34456?t=MzQ0NTY.ajjbbA.DiTKAIkuH6447fX2xliUqcoHAUA" TargetMode="External"/><Relationship Id="rId2" Type="http://schemas.openxmlformats.org/officeDocument/2006/relationships/styles" Target="styles.xml"/><Relationship Id="rId16" Type="http://schemas.openxmlformats.org/officeDocument/2006/relationships/hyperlink" Target="https://app.casus.legal/case/36141?t=MzYxNDE.ajjbFg.j705qSgl_3yydl22c3wR1tumWC8" TargetMode="External"/><Relationship Id="rId20" Type="http://schemas.openxmlformats.org/officeDocument/2006/relationships/hyperlink" Target="https://app.casus.legal/case/36885?t=MzY4ODU.ajjbWg.JLJcDkYx48OT3x5k7WtI3-TQwqQ" TargetMode="External"/><Relationship Id="rId29" Type="http://schemas.openxmlformats.org/officeDocument/2006/relationships/hyperlink" Target="https://app.casus.legal/case/72?t=NzI.ajjbFg.r2sD-mk0UC0nCmqWVWf02FvHKxA" TargetMode="External"/><Relationship Id="rId1" Type="http://schemas.openxmlformats.org/officeDocument/2006/relationships/numbering" Target="numbering.xml"/><Relationship Id="rId6" Type="http://schemas.openxmlformats.org/officeDocument/2006/relationships/hyperlink" Target="https://app.casus.legal/case/34601?t=MzQ2MDE.ajjbFg.SeyIZFEwx7IXhxLv--6_8DZbR3I" TargetMode="External"/><Relationship Id="rId11" Type="http://schemas.openxmlformats.org/officeDocument/2006/relationships/hyperlink" Target="https://app.casus.legal/case/34601?t=MzQ2MDE.ajjbFg.SeyIZFEwx7IXhxLv--6_8DZbR3I" TargetMode="External"/><Relationship Id="rId24" Type="http://schemas.openxmlformats.org/officeDocument/2006/relationships/hyperlink" Target="https://app.casus.legal/case/34707?t=MzQ3MDc.ajjbFg.WJcSD6-SmvJ_kPGMgqyAmPG6BiQ" TargetMode="External"/><Relationship Id="rId5" Type="http://schemas.openxmlformats.org/officeDocument/2006/relationships/hyperlink" Target="https://app.casus.legal/case/36141?t=MzYxNDE.ajjbFg.j705qSgl_3yydl22c3wR1tumWC8" TargetMode="External"/><Relationship Id="rId15" Type="http://schemas.openxmlformats.org/officeDocument/2006/relationships/hyperlink" Target="https://app.casus.legal/case/7304?t=NzMwNA.ajjbbA._1vQ78PiygiUI_r6Z3MP7upV6NU" TargetMode="External"/><Relationship Id="rId23" Type="http://schemas.openxmlformats.org/officeDocument/2006/relationships/hyperlink" Target="https://app.casus.legal/case/34601?t=MzQ2MDE.ajjbFg.SeyIZFEwx7IXhxLv--6_8DZbR3I" TargetMode="External"/><Relationship Id="rId28" Type="http://schemas.openxmlformats.org/officeDocument/2006/relationships/hyperlink" Target="https://app.casus.legal/case/7304?t=NzMwNA.ajjbbA._1vQ78PiygiUI_r6Z3MP7upV6NU" TargetMode="External"/><Relationship Id="rId10" Type="http://schemas.openxmlformats.org/officeDocument/2006/relationships/hyperlink" Target="https://app.casus.legal/case/34601?t=MzQ2MDE.ajjbFg.SeyIZFEwx7IXhxLv--6_8DZbR3I" TargetMode="External"/><Relationship Id="rId19" Type="http://schemas.openxmlformats.org/officeDocument/2006/relationships/hyperlink" Target="https://app.casus.legal/case/34707?t=MzQ3MDc.ajjbFg.WJcSD6-SmvJ_kPGMgqyAmPG6BiQ"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pp.casus.legal/case/34601?t=MzQ2MDE.ajjbFg.SeyIZFEwx7IXhxLv--6_8DZbR3I" TargetMode="External"/><Relationship Id="rId14" Type="http://schemas.openxmlformats.org/officeDocument/2006/relationships/hyperlink" Target="https://app.casus.legal/case/34601?t=MzQ2MDE.ajjbFg.SeyIZFEwx7IXhxLv--6_8DZbR3I" TargetMode="External"/><Relationship Id="rId22" Type="http://schemas.openxmlformats.org/officeDocument/2006/relationships/hyperlink" Target="https://app.casus.legal/case/36141?t=MzYxNDE.ajjbFg.j705qSgl_3yydl22c3wR1tumWC8" TargetMode="External"/><Relationship Id="rId27" Type="http://schemas.openxmlformats.org/officeDocument/2006/relationships/hyperlink" Target="https://app.casus.legal/case/35493?t=MzU0OTM.ajjbWg.KlrjspZTnAAUh3JOtPZP78hB1N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2045</Words>
  <Characters>11662</Characters>
  <Application>Microsoft Office Word</Application>
  <DocSecurity>0</DocSecurity>
  <Lines>97</Lines>
  <Paragraphs>27</Paragraphs>
  <ScaleCrop>false</ScaleCrop>
  <Company/>
  <LinksUpToDate>false</LinksUpToDate>
  <CharactersWithSpaces>13680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Bevzenko</dc:creator>
  <cp:keywords/>
  <dc:description/>
  <cp:lastModifiedBy>Roman Bevzenko</cp:lastModifiedBy>
  <cp:revision>1</cp:revision>
  <dcterms:created xsi:type="dcterms:W3CDTF">2026-06-22T07:00:00Z</dcterms:created>
  <dcterms:modified xsi:type="dcterms:W3CDTF">2026-06-22T07:05:00Z</dcterms:modified>
</cp:coreProperties>
</file>