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 w:line="283" w:lineRule="auto"/>
        <w:jc w:val="center"/>
      </w:pPr>
      <w:r>
        <w:rPr>
          <w:rFonts w:ascii="Arial" w:hAnsi="Arial" w:cs="Arial"/>
          <w:b/>
          <w:i w:val="0"/>
          <w:color w:val="3C6E91"/>
          <w:sz w:val="18"/>
        </w:rPr>
        <w:t>НОВОСТИ · СУДЕБНАЯ ПРАКТИКА · ВЫСШИЕ СУДЫ</w:t>
      </w:r>
    </w:p>
    <w:p>
      <w:pPr>
        <w:spacing w:after="40" w:before="0" w:line="283" w:lineRule="auto"/>
        <w:jc w:val="center"/>
      </w:pPr>
      <w:r>
        <w:rPr>
          <w:rFonts w:ascii="Georgia" w:hAnsi="Georgia" w:cs="Georgia"/>
          <w:b/>
          <w:i w:val="0"/>
          <w:color w:val="33312E"/>
          <w:sz w:val="36"/>
        </w:rPr>
        <w:t>Тематический обзор ВС РФ № 8/2026:</w:t>
      </w:r>
    </w:p>
    <w:p>
      <w:pPr>
        <w:spacing w:after="120" w:before="0" w:line="283" w:lineRule="auto"/>
        <w:jc w:val="center"/>
      </w:pPr>
      <w:r>
        <w:rPr>
          <w:rFonts w:ascii="Georgia" w:hAnsi="Georgia" w:cs="Georgia"/>
          <w:b/>
          <w:i w:val="0"/>
          <w:color w:val="33312E"/>
          <w:sz w:val="36"/>
        </w:rPr>
        <w:t>22 позиции о специальных экономических мерах и их первоисточники</w:t>
      </w:r>
    </w:p>
    <w:p>
      <w:pPr>
        <w:pBdr>
          <w:bottom w:val="single" w:sz="12" w:space="6" w:color="3C6E91"/>
        </w:pBdr>
        <w:spacing w:after="200" w:before="0" w:line="283" w:lineRule="auto"/>
        <w:jc w:val="center"/>
      </w:pPr>
      <w:r>
        <w:rPr>
          <w:rFonts w:ascii="Arial" w:hAnsi="Arial" w:cs="Arial"/>
          <w:b w:val="0"/>
          <w:i w:val="0"/>
          <w:color w:val="6E6354"/>
          <w:sz w:val="20"/>
        </w:rPr>
        <w:t>Разбор подготовлен через коннектор CasusLegal «Высшие суды»</w:t>
      </w:r>
    </w:p>
    <w:p>
      <w:pPr>
        <w:spacing w:after="12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 xml:space="preserve">Постатейный разбор Тематического обзора Верховного Суда Российской Федерации № 8/2026, посвящённого применению арбитражными судами законодательства о специальных экономических мерах. Обзор объединяет 22 правовые позиции: от ничтожности сделок в обход указов Президента до компетенции российских судов вопреки арбитражной оговорке и проверки иностранных решений на соответствие публичному порядку. Полный текст обзора: </w:t>
      </w:r>
      <w:hyperlink r:id="rId9">
        <w:r>
          <w:rPr>
            <w:rFonts w:ascii="Arial" w:hAnsi="Arial" w:cs="Arial"/>
            <w:color w:val="3C6E91"/>
            <w:u w:val="single"/>
            <w:b/>
          </w:rPr>
          <w:t xml:space="preserve">в базе CasusLegal</w:t>
        </w:r>
      </w:hyperlink>
      <w:r>
        <w:rPr>
          <w:rFonts w:ascii="Georgia" w:hAnsi="Georgia" w:cs="Georgia"/>
          <w:b w:val="0"/>
          <w:i w:val="0"/>
          <w:color w:val="2A2620"/>
          <w:sz w:val="22"/>
        </w:rPr>
        <w:t>.</w:t>
      </w:r>
    </w:p>
    <w:p>
      <w:pPr>
        <w:pBdr>
          <w:left w:val="single" w:sz="8" w:space="10" w:color="3C6E91"/>
        </w:pBdr>
        <w:spacing w:after="200" w:before="0" w:line="283" w:lineRule="auto"/>
        <w:ind w:left="170"/>
        <w:jc w:val="both"/>
      </w:pPr>
      <w:r>
        <w:rPr>
          <w:rFonts w:ascii="Arial" w:hAnsi="Arial" w:cs="Arial"/>
          <w:b w:val="0"/>
          <w:i w:val="0"/>
          <w:color w:val="6E6354"/>
          <w:sz w:val="20"/>
        </w:rPr>
        <w:t>Номер каждого пункта ведёт на его дословный текст в базе; реквизиты практики открывают соответствующие определения коллегий, постановления Пленумов и акты Конституционного Суда. Под каждым пунктом приведён дословный тезис, краткий разбор и судебные акты-первоисточники, из которых выросла позиция.</w:t>
      </w:r>
    </w:p>
    <w:p>
      <w:pPr>
        <w:pBdr>
          <w:bottom w:val="single" w:sz="12" w:space="6" w:color="3C6E91"/>
        </w:pBdr>
        <w:spacing w:after="160" w:before="280" w:line="283" w:lineRule="auto"/>
        <w:jc w:val="both"/>
      </w:pPr>
      <w:r>
        <w:rPr>
          <w:rFonts w:ascii="Georgia" w:hAnsi="Georgia" w:cs="Georgia"/>
          <w:b/>
          <w:i w:val="0"/>
          <w:color w:val="33312E"/>
          <w:sz w:val="28"/>
        </w:rPr>
        <w:t>I. Ничтожность сделок и платежей в обход спецмер</w:t>
      </w:r>
    </w:p>
    <w:p>
      <w:pPr>
        <w:spacing w:after="1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Сделки и платежи, совершённые в обход указов Президента и порядка согласования иностранных инвестиций, посягают на публичные интересы и ничтожны.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10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ДКП недвижимости с подконтрольным иностранцу лицом без разрешения Правкомиссии ничтожен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Договор купли-продажи находящегося на территории Российской Федерации недвижимого имущества, заключенный с российским лицом, подконтрольным иностранному лицу, без разрешения Правительственной комиссии по контролю за осуществлением иностранных инвестиций в Российской Федерации является ничтожным на основании пункта 2 статьи 168 Гражданского кодекса Российской Федерации. </w:t>
      </w:r>
      <w:hyperlink r:id="rId10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Особый порядок сделок с недвижимостью (Указ № 81) императивен. Его несоблюдение посягает на публичные интересы финансовой стабильности, поэтому сделка ничтожна, а полученное возвращается по правилам двусторонней реституции (статья 167 ГК РФ).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обзор опирается на разъяснение </w:t>
      </w:r>
      <w:hyperlink r:id="rId11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25 (п. 75)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12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2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Сделка с акциями стратегического предприятия без согласования Правкомиссии ничтожна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Сделка, направленная на установление иностранного контроля над стратегическим предприятием, заключенная без согласования Правительственной комиссии по контролю за осуществлением иностранных инвестиций в Российской Федерации, является ничтожной. </w:t>
      </w:r>
      <w:hyperlink r:id="rId12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Приобретение иностранным инвестором более 25 % голосов в обществе стратегического значения требует предварительного согласования (Закон № 57-ФЗ). Сделка без согласования ничтожна, а приобретённые умышленно акции могут быть обращены в доход Российской Федерации.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>обособленный судебный акт-первоисточник в базе коннектора не выделен.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13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3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Платёж в обход временного порядка (Указ № 95, счёт типа «С») ничтожен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Действия по совершению платежа с нарушением временного порядка исполнения обязательства, предусмотренного указами Президента Российской Федерации, являются ничтожными применительно к правилам пункта 2 статьи 168 ГК РФ. </w:t>
      </w:r>
      <w:hyperlink r:id="rId13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Расчёты по обязательствам свыше 10 млн рублей перед кредитором из недружественного государства должны идти через счёт типа «С». Платёж в обход этого порядка противоречит публичным интересам и ничтожен.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>обособленный судебный акт-первоисточник в базе коннектора не выделен.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14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4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Искусственное дробление платежей для обхода Указа № 95 ничтожно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Действия по искусственному дроблению платежей для целей обхода положений Указа Президента Российской Федерации № 95 могут быть квалифицированы как ничтожные применительно к правилам статьи 10, пункта 2 статьи 168 ГК РФ. </w:t>
      </w:r>
      <w:hyperlink r:id="rId14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Дробление единого долга на части до 10 млн рублей, чтобы вывести платёж из-под временного порядка, квалифицируется как обход закона с противоправной целью (статья 10 ГК РФ) и влечёт ничтожность.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обзор опирается на разъяснение </w:t>
      </w:r>
      <w:hyperlink r:id="rId11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25 (п. 8)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15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5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Цессия требования по «указному» обязательству ничтожна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Договор уступки требования взыскания задолженности по обязательству, исполнение которого осуществляется в соответствии с временным порядком, установленным указами Президента Российской Федерации, является ничтожным (статьи 10, 168 ГК РФ). </w:t>
      </w:r>
      <w:hyperlink r:id="rId15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Уступка иностранным кредитором требования лицу, на которое указ не распространяется, направлена на получение средств в обход спецсчёта и потому ничтожна. Позиция охватывает обязательства и по Указу № 95 (займы), и по Указу № 322 (интеллектуальная собственность).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прямой первоисточник </w:t>
      </w:r>
      <w:hyperlink r:id="rId16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СКЭС № 307-ЭС24-18161 (2025)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 xml:space="preserve">; </w:t>
      </w:r>
      <w:hyperlink r:id="rId11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25 (п. 8)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pBdr>
          <w:bottom w:val="single" w:sz="12" w:space="6" w:color="3C6E91"/>
        </w:pBdr>
        <w:spacing w:after="160" w:before="280" w:line="283" w:lineRule="auto"/>
        <w:jc w:val="both"/>
      </w:pPr>
      <w:r>
        <w:rPr>
          <w:rFonts w:ascii="Georgia" w:hAnsi="Georgia" w:cs="Georgia"/>
          <w:b/>
          <w:i w:val="0"/>
          <w:color w:val="33312E"/>
          <w:sz w:val="28"/>
        </w:rPr>
        <w:t>II. Действительность вне сферы указов и процессуальные вопросы</w:t>
      </w:r>
    </w:p>
    <w:p>
      <w:pPr>
        <w:spacing w:after="1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Когда временный порядок не применяется, уступка действительна; ничтожность суд проверяет по своей инициативе, а нарушение спецмер может стать вновь открывшимся обстоятельством.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17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6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Цессия по обязательству вне действия указов действительна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Договор уступки требования взыскания задолженности по обязательству, на которое не распространяется действие указов Президента Российской Федерации, является действительным. </w:t>
      </w:r>
      <w:hyperlink r:id="rId17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Если размер требования не превышает 10 млн рублей либо обязательство не относится к кредиту, займу или финансовому инструменту, временный порядок не применяется, и в уступке нет злоупотребления правом.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>позиция-антипод к пункту 5; обособленный судебный акт-первоисточник в базе коннектора не выделен.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18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7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Суд проверяет ничтожность цессии по своей инициативе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Суд вправе по собственной инициативе оценить действительность договора уступки требования о взыскании задолженности по обязательству, исполнение которого осуществляется в соответствии с временным порядком, установленным указами Президента Российской Федерации, вне зависимости от доводов сторон. </w:t>
      </w:r>
      <w:hyperlink r:id="rId18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Ничтожность уступки, обходящей временный порядок, суд констатирует по собственной инициативе, в том числе на стадии кассации, в целях защиты публичных интересов; полученное цессионарием возвращается в порядке реституции.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прямой первоисточник </w:t>
      </w:r>
      <w:hyperlink r:id="rId16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СКЭС № 307-ЭС24-18161 (2025)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 xml:space="preserve">; </w:t>
      </w:r>
      <w:hyperlink r:id="rId19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12 (п. 32)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20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8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Нарушение спецмер как вновь открывшееся обстоятельство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Обстоятельства, указывающие на нарушение участниками процесса законодательства о специальных экономических мерах, имеющие существенное значение для дела, но не являвшиеся предметом судебного разбирательства, могут быть признаны судом вновь открывшимися обстоятельствами. </w:t>
      </w:r>
      <w:hyperlink r:id="rId20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Прокурор вправе вступить в дело на любой стадии (часть 5 статьи 52 АПК РФ) и заявить о пересмотре по вновь открывшимся обстоятельствам, если спор инициирован для обхода спецмер.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>обособленный судебный акт-первоисточник в базе коннектора не выделен.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21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9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Мировое соглашение в обход спецпорядка не утверждается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Мировое соглашение, заключенное для целей обхода специального порядка исполнения обязательства, предусмотренного указами Президента Российской Федерации, не подлежит утверждению судом. </w:t>
      </w:r>
      <w:hyperlink r:id="rId21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Мировое соглашение остаётся сделкой и подчиняется правилам о ничтожности. Условие о выплате в обход счёта типа «О» (Указ № 322) посягает на публичные интересы, поэтому суд его не утверждает (часть 5 статьи 49 АПК РФ).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обзор опирается на разъяснение </w:t>
      </w:r>
      <w:hyperlink r:id="rId11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25 (п. 8)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pBdr>
          <w:bottom w:val="single" w:sz="12" w:space="6" w:color="3C6E91"/>
        </w:pBdr>
        <w:spacing w:after="160" w:before="280" w:line="283" w:lineRule="auto"/>
        <w:jc w:val="both"/>
      </w:pPr>
      <w:r>
        <w:rPr>
          <w:rFonts w:ascii="Georgia" w:hAnsi="Georgia" w:cs="Georgia"/>
          <w:b/>
          <w:i w:val="0"/>
          <w:color w:val="33312E"/>
          <w:sz w:val="28"/>
        </w:rPr>
        <w:t>III. Интеллектуальная собственность и спецпорядок (Указ № 322)</w:t>
      </w:r>
    </w:p>
    <w:p>
      <w:pPr>
        <w:spacing w:after="1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Сфера действия временного порядка по обязательствам из интеллектуальной собственности, исключение по подпункту «в» пункта 17 и принудительное лицензирование.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22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10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Указ № 322 охватывает обязательства из ИС независимо от основания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Временный порядок исполнения обязательств, установленный Указом Президента Российской Федерации № 322, распространяется на обязательства, связанные с использованием результатов интеллектуальной деятельности, независимо от основания их возникновения. </w:t>
      </w:r>
      <w:hyperlink r:id="rId22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Порядок действует и в отношении договорных платежей, и в отношении компенсации за нарушение исключительных прав, в том числе обязательств из причинения вреда. Исключение по подпункту «в» пункта 17 проверяется отдельно.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>обособленный судебный акт-первоисточник в базе коннектора не выделен.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23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11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Исключение по подп. «в» п. 17 Указа № 322: бремя на правообладателе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Если правообладатель, являющийся иностранным лицом недружественной юрисдикции, подтвердит надлежащее исполнение им обязанностей по договорам, заключенным с резидентами Российской Федерации, и продолжение осуществления деятельности на территории Российской Федерации, специальный порядок исполнения обязательства не применяется (подпункт «в» пункта 17 Указа Президента Российской Федерации № 322). </w:t>
      </w:r>
      <w:hyperlink r:id="rId23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Регистрация правообладателя в недружественном государстве сама по себе не означает злоупотребления правом. Бремя доказывания продолжения деятельности и надлежащего исполнения договоров лежит на правообладателе; ответчик вправе это опровергать.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>обособленный судебный акт-первоисточник в базе коннектора не выделен.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24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12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Принудительное лицензирование как исключительная мера (ст. 1362 ГК РФ)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Принудительное лицензирование является исключительной и вынужденной мерой предотвращения неиспользования или недостаточного использования объекта патентных прав, которое может быть обусловлено в том числе злоупотреблениями интеллектуальными правами и явно недобросовестным поведением (например, отсутствие у патентообладателя намерения обеспечивать достаточное поступление на российский рынок определенной продукции в контексте справедливого рыночного ценообразования). </w:t>
      </w:r>
      <w:hyperlink r:id="rId24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Истец доказывает недостаточность использования изобретения, свою готовность его использовать и отказ патентообладателя от лицензии на рыночных условиях. Учитывается принадлежность патентообладателя к недружественной юрисдикции и угроза дефицита социально значимой продукции.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>обособленный судебный акт-первоисточник в базе коннектора не выделен.</w:t>
      </w:r>
    </w:p>
    <w:p>
      <w:pPr>
        <w:pBdr>
          <w:bottom w:val="single" w:sz="12" w:space="6" w:color="3C6E91"/>
        </w:pBdr>
        <w:spacing w:after="160" w:before="280" w:line="283" w:lineRule="auto"/>
        <w:jc w:val="both"/>
      </w:pPr>
      <w:r>
        <w:rPr>
          <w:rFonts w:ascii="Georgia" w:hAnsi="Georgia" w:cs="Georgia"/>
          <w:b/>
          <w:i w:val="0"/>
          <w:color w:val="33312E"/>
          <w:sz w:val="28"/>
        </w:rPr>
        <w:t>IV. Освобождение от ответственности при санкциях</w:t>
      </w:r>
    </w:p>
    <w:p>
      <w:pPr>
        <w:spacing w:after="1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Санкции против российской инфраструктуры как обстоятельства непреодолимой силы: пределы ответственности брокера и банка плательщика.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25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13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Брокер освобождается от ответственности при санкциях против биржи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Брокер может быть освобожден от ответственности за неисполнение поручений клиента по распоряжению ценными бумагами иностранных эмитентов, если оно вызвано введением в отношении российской биржи санкционных ограничений, которые брокер объективно не мог предотвратить. </w:t>
      </w:r>
      <w:hyperlink r:id="rId25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Санкции против российской биржи и блокировка иностранных активов относятся к обстоятельствам непреодолимой силы, если кредитор не докажет иной способ исполнения. Это временная невозможность: обязательство не прекращается, но санкции за просрочку не начисляются.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обзор опирается на разъяснения </w:t>
      </w:r>
      <w:hyperlink r:id="rId26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7 (п. 9)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 xml:space="preserve">; </w:t>
      </w:r>
      <w:hyperlink r:id="rId27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6 (п. 38)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28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14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Банк плательщика не отвечает за блокировку у банка-посредника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Банк плательщика не несет ответственности за неисполнение платежного поручения, если перевод денежных средств от банка-посредника банку получателя был заблокирован вследствие введения ограничительных мер, о которых банк плательщика на дату перевода денежных средств банку-посреднику не знал и не должен был знать. </w:t>
      </w:r>
      <w:hyperlink r:id="rId28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Если на дату перевода ограничений против банка не было и он не знал о риске блокировки, его вина отсутствует (статья 401 ГК РФ). Привлечение банка-посредника само по себе правомерно (статьи 863, 865 ГК РФ).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обзор опирается на разъяснения </w:t>
      </w:r>
      <w:hyperlink r:id="rId26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7 (п. 9)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 xml:space="preserve">; </w:t>
      </w:r>
      <w:hyperlink r:id="rId27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6 (п. 38)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pBdr>
          <w:bottom w:val="single" w:sz="12" w:space="6" w:color="3C6E91"/>
        </w:pBdr>
        <w:spacing w:after="160" w:before="280" w:line="283" w:lineRule="auto"/>
        <w:jc w:val="both"/>
      </w:pPr>
      <w:r>
        <w:rPr>
          <w:rFonts w:ascii="Georgia" w:hAnsi="Georgia" w:cs="Georgia"/>
          <w:b/>
          <w:i w:val="0"/>
          <w:color w:val="33312E"/>
          <w:sz w:val="28"/>
        </w:rPr>
        <w:t>V. Компетенция российских судов и антиисковые запреты (ст. 248.1, 248.2 АПК РФ)</w:t>
      </w:r>
    </w:p>
    <w:p>
      <w:pPr>
        <w:spacing w:after="1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Исключительная компетенция и доступ к правосудию: судебный запрет вопреки арбитражной оговорке, тесная связь с территорией России и судебная неустойка за нарушение запрета.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29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15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Арбитражная оговорка не препятствует заявлению по ст. 248.2 АПК РФ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Заявление о запрете инициировать или продолжать разбирательство по спорам с участием лиц, в отношении которых введены меры ограничительного характера (статья 248.2 АПК РФ), не может быть оставлено без рассмотрения в соответствии с пунктами 1, 6 части 1 статьи 148 АПК РФ в связи с наличием арбитражной оговорки в соглашении сторон. </w:t>
      </w:r>
      <w:hyperlink r:id="rId29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Заявление о судебном запрете не является исковым производством, поэтому правила об оставлении иска без рассмотрения при наличии третейской оговорки к нему неприменимы. Такие споры рассматриваются исключительно российским судом.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конституционная опора </w:t>
      </w:r>
      <w:hyperlink r:id="rId30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КС РФ № 2615-О (2025)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31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16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Запрет на въезд в недружественное государство как мера ограничительного характера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Запрет на въезд граждан Российской Федерации на территорию недружественного государства для участия в судебном заседании может быть квалифицирован в качестве меры ограничительного характера, применяемой к таким лицам, независимо от того, установлены ли в их отношении персональные санкционные ограничения. </w:t>
      </w:r>
      <w:hyperlink r:id="rId31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Ограничительные меры имеют не только личный, но и публичный характер. Отказ в визе для участия в иностранном процессе лишает гражданина возможности защищать свои права за рубежом и обосновывает компетенцию российского суда.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прямой первоисточник </w:t>
      </w:r>
      <w:hyperlink r:id="rId32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СКЭС № 309-ЭС21-6955 (2021)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 xml:space="preserve">; </w:t>
      </w:r>
      <w:hyperlink r:id="rId30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КС РФ № 2615-О (2025)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33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17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Компетенция вопреки арбитражной оговорке (облигации, гарантия, Euroclear)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Если экономический спор возник в связи с введением иностранным государством мер ограничительного характера или для одной из сторон установлены препятствия в доступе к правосудию, то указанный спор относится к компетенции российских арбитражных судов, в том числе при наличии арбитражной оговорки. </w:t>
      </w:r>
      <w:hyperlink r:id="rId33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Спор держателя облигаций к российскому гаранту при блокировке выплат в Euroclear подсуден российскому суду по пункту 1 части 3 статьи 248.1 АПК РФ: беспристрастность арбитров недружественной юрисдикции сомнительна, а исполнение оговорки стало обременительным и непредвидимым образом.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прямой первоисточник </w:t>
      </w:r>
      <w:hyperlink r:id="rId34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СКЭС № 305-ЭС24-13398 (2024)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 xml:space="preserve">; </w:t>
      </w:r>
      <w:hyperlink r:id="rId30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КС РФ № 2615-О (2025)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35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18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Компетенция по тесной связи и фактическому месту исполнения договора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При разрешении вопроса о компетенции арбитражных судов Российской Федерации по экономическим спорам, осложненным иностранным элементом, судам в соответствии с принципом наличия тесной связи спорного правоотношения с территорией Российской Федерации следует учитывать фактическое место исполнения договора. </w:t>
      </w:r>
      <w:hyperlink r:id="rId35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Даже без исключительной компетенции спор подсуден российскому суду при тесной связи с территорией России (пункт 10 части 1 статьи 247 АПК РФ), прежде всего по фактическому месту исполнения обязательства. Оговорка о применимом праве сама по себе подсудности не определяет.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прямой первоисточник </w:t>
      </w:r>
      <w:hyperlink r:id="rId36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СКЭС № 302-ЭС22-16135 (2022)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 xml:space="preserve">; </w:t>
      </w:r>
      <w:hyperlink r:id="rId37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Пленум ВС РФ № 23 (п. 4, 15)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38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21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Судебная неустойка за нарушение антиискового запрета допустима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Установление судебной неустойки за нарушение запрета инициировать или продолжать разбирательство в иностранном суде является допустимой мерой, направленной на предотвращение злоупотреблений со стороны лиц, соблюдающих санкционные ограничения. </w:t>
      </w:r>
      <w:hyperlink r:id="rId38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Часть 10 статьи 248.2 АПК РФ прямо допускает присуждение денежной суммы на случай неисполнения запрета. Её размер ограничен размером требований, заявленных в иностранном суде, и понесённых расходов.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прямой первоисточник </w:t>
      </w:r>
      <w:hyperlink r:id="rId32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СКЭС № 309-ЭС21-6955 (2021)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 xml:space="preserve">; </w:t>
      </w:r>
      <w:hyperlink r:id="rId30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КС РФ № 2615-О (2025)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pBdr>
          <w:bottom w:val="single" w:sz="12" w:space="6" w:color="3C6E91"/>
        </w:pBdr>
        <w:spacing w:after="160" w:before="280" w:line="283" w:lineRule="auto"/>
        <w:jc w:val="both"/>
      </w:pPr>
      <w:r>
        <w:rPr>
          <w:rFonts w:ascii="Georgia" w:hAnsi="Georgia" w:cs="Georgia"/>
          <w:b/>
          <w:i w:val="0"/>
          <w:color w:val="33312E"/>
          <w:sz w:val="28"/>
        </w:rPr>
        <w:t>VI. Признание иностранных решений и публичный порядок</w:t>
      </w:r>
    </w:p>
    <w:p>
      <w:pPr>
        <w:spacing w:after="1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Проверка иностранных арбитражных и третейских решений на соответствие публичному порядку и презумпция небеспристрастности арбитров недружественных стран.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39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19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Признание иностранного арбитража: проверка публичного порядка и беспристрастности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При рассмотрении заявления о признании и приведении в исполнение в Российской Федерации решения арбитража, вынесенного на территории недружественного государства, суду следует проверять его на соответствие публичному порядку Российской Федерации. При рассмотрении спора в иностранном арбитраже с участием арбитров из числа представителей недружественных стран отсутствие беспристрастности и объективности презюмируется. </w:t>
      </w:r>
      <w:hyperlink r:id="rId39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Суд обязан оценить последствия исполнения решения и соразмерность взысканных убытков, а не подменять это проверкой действительности сделки. Назначение арбитрами граждан недружественных государств порождает опровержимую презумпцию их небеспристрастности.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прямой первоисточник </w:t>
      </w:r>
      <w:hyperlink r:id="rId40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Определение СКЭС № 304-ЭС24-2799 (2024)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 xml:space="preserve">; </w:t>
      </w:r>
      <w:hyperlink r:id="rId41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Постановление КС РФ № 46-П (2023)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42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20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Исполнение третейского решения в пользу недружественного лица нарушает публичный порядок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Приведение в исполнение решения третейского суда в пользу организации, находящейся под юрисдикцией недружественного государства, может быть квалифицировано как нарушение публичного порядка Российской Федерации. </w:t>
      </w:r>
      <w:hyperlink r:id="rId42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Действующий временный порядок и требование указывать счёт взыскателя в российской кредитной организации (ФЗ № 624) делают исполнение в пользу лица из недружественной юрисдикции противоречащим публичному порядку (пункт 2 части 4 статьи 239 АПК РФ).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 xml:space="preserve">конституционная опора </w:t>
      </w:r>
      <w:hyperlink r:id="rId41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Постановление КС РФ № 46-П (2023)</w:t>
        </w:r>
      </w:hyperlink>
      <w:r>
        <w:rPr>
          <w:rFonts w:ascii="Arial" w:hAnsi="Arial" w:cs="Arial"/>
          <w:b w:val="0"/>
          <w:i w:val="0"/>
          <w:color w:val="6E6354"/>
          <w:sz w:val="19"/>
        </w:rPr>
        <w:t>.</w:t>
      </w:r>
    </w:p>
    <w:p>
      <w:pPr>
        <w:pBdr>
          <w:bottom w:val="single" w:sz="12" w:space="6" w:color="3C6E91"/>
        </w:pBdr>
        <w:spacing w:after="160" w:before="280" w:line="283" w:lineRule="auto"/>
        <w:jc w:val="both"/>
      </w:pPr>
      <w:r>
        <w:rPr>
          <w:rFonts w:ascii="Georgia" w:hAnsi="Georgia" w:cs="Georgia"/>
          <w:b/>
          <w:i w:val="0"/>
          <w:color w:val="33312E"/>
          <w:sz w:val="28"/>
        </w:rPr>
        <w:t>VII. Таможенные ответные меры</w:t>
      </w:r>
    </w:p>
    <w:p>
      <w:pPr>
        <w:spacing w:after="1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Перемещение санкционных иностранных товаров по территории России допускается только в режиме таможенного транзита.</w:t>
      </w:r>
    </w:p>
    <w:p>
      <w:pPr>
        <w:spacing w:after="40" w:before="120" w:line="283" w:lineRule="auto"/>
        <w:jc w:val="both"/>
      </w:pPr>
      <w:r>
        <w:rPr>
          <w:rFonts w:ascii="Arial" w:hAnsi="Arial" w:cs="Arial"/>
          <w:b/>
          <w:i w:val="0"/>
          <w:color w:val="33312E"/>
          <w:sz w:val="23"/>
        </w:rPr>
        <w:t xml:space="preserve">Пункт </w:t>
      </w:r>
      <w:hyperlink r:id="rId43">
        <w:r>
          <w:rPr>
            <w:rFonts w:ascii="Arial" w:hAnsi="Arial" w:cs="Arial"/>
            <w:color w:val="3C6E91"/>
            <w:u w:val="single"/>
            <w:b/>
            <w:sz w:val="23"/>
            <w:szCs w:val="23"/>
          </w:rPr>
          <w:t xml:space="preserve">22</w:t>
        </w:r>
      </w:hyperlink>
      <w:r>
        <w:rPr>
          <w:rFonts w:ascii="Arial" w:hAnsi="Arial" w:cs="Arial"/>
          <w:b/>
          <w:i w:val="0"/>
          <w:color w:val="6E6354"/>
          <w:sz w:val="23"/>
        </w:rPr>
        <w:t xml:space="preserve">  ·  </w:t>
      </w:r>
      <w:r>
        <w:rPr>
          <w:rFonts w:ascii="Georgia" w:hAnsi="Georgia" w:cs="Georgia"/>
          <w:b/>
          <w:i w:val="0"/>
          <w:color w:val="2A2620"/>
          <w:sz w:val="23"/>
        </w:rPr>
        <w:t>Перемещение санкционных товаров по России только в режиме таможенного транзита</w:t>
      </w:r>
    </w:p>
    <w:p>
      <w:pPr>
        <w:pBdr>
          <w:left w:val="single" w:sz="8" w:space="10" w:color="3C6E91"/>
        </w:pBdr>
        <w:spacing w:after="60" w:before="0" w:line="283" w:lineRule="auto"/>
        <w:ind w:left="510"/>
        <w:jc w:val="both"/>
      </w:pPr>
      <w:r>
        <w:rPr>
          <w:rFonts w:ascii="Georgia" w:hAnsi="Georgia" w:cs="Georgia"/>
          <w:b w:val="0"/>
          <w:i/>
          <w:color w:val="6E6354"/>
          <w:sz w:val="20"/>
        </w:rPr>
        <w:t xml:space="preserve">Перемещение по территории Российской Федерации в предпринимательских целях иностранных товаров, в отношении которых Российской Федерацией в ответном порядке применены меры экономического характера, возможно только по таможенной процедуре таможенного транзита. </w:t>
      </w:r>
      <w:hyperlink r:id="rId43">
        <w:r>
          <w:rPr>
            <w:rFonts w:ascii="Arial" w:hAnsi="Arial" w:cs="Arial"/>
            <w:color w:val="3C6E91"/>
            <w:u w:val="single"/>
            <w:b/>
            <w:sz w:val="19"/>
            <w:szCs w:val="19"/>
          </w:rPr>
          <w:t xml:space="preserve">полный текст ↗</w:t>
        </w:r>
      </w:hyperlink>
    </w:p>
    <w:p>
      <w:pPr>
        <w:spacing w:after="6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Ключевой критерий ответных мер это происхождение товара, а не таможенный режим. Запрет ввоза не действует лишь для товаров под процедурой транзита в третьи страны (Указ № 391); придание санкционному товару статуса товара ЕАЭС есть злоупотребление правом.</w:t>
      </w:r>
    </w:p>
    <w:p>
      <w:pPr>
        <w:spacing w:after="160" w:before="0" w:line="283" w:lineRule="auto"/>
        <w:jc w:val="both"/>
      </w:pPr>
      <w:r>
        <w:rPr>
          <w:rFonts w:ascii="Arial" w:hAnsi="Arial" w:cs="Arial"/>
          <w:b/>
          <w:i w:val="0"/>
          <w:color w:val="6E6354"/>
          <w:sz w:val="19"/>
        </w:rPr>
        <w:t xml:space="preserve">Первоисточник в базе: </w:t>
      </w:r>
      <w:r>
        <w:rPr>
          <w:rFonts w:ascii="Arial" w:hAnsi="Arial" w:cs="Arial"/>
          <w:b w:val="0"/>
          <w:i w:val="0"/>
          <w:color w:val="6E6354"/>
          <w:sz w:val="19"/>
        </w:rPr>
        <w:t>обособленный судебный акт-первоисточник в базе коннектора не выделен.</w:t>
      </w:r>
    </w:p>
    <w:p>
      <w:pPr>
        <w:pBdr>
          <w:bottom w:val="single" w:sz="12" w:space="6" w:color="3C6E91"/>
        </w:pBdr>
        <w:spacing w:after="160" w:before="280" w:line="283" w:lineRule="auto"/>
        <w:jc w:val="both"/>
      </w:pPr>
      <w:r>
        <w:rPr>
          <w:rFonts w:ascii="Georgia" w:hAnsi="Georgia" w:cs="Georgia"/>
          <w:b/>
          <w:i w:val="0"/>
          <w:color w:val="33312E"/>
          <w:sz w:val="28"/>
        </w:rPr>
        <w:t>Как обзор вырос из практики</w:t>
      </w:r>
    </w:p>
    <w:p>
      <w:pPr>
        <w:spacing w:after="120" w:before="0" w:line="283" w:lineRule="auto"/>
        <w:jc w:val="both"/>
      </w:pPr>
      <w:r>
        <w:rPr>
          <w:rFonts w:ascii="Georgia" w:hAnsi="Georgia" w:cs="Georgia"/>
          <w:b w:val="0"/>
          <w:i w:val="0"/>
          <w:color w:val="2A2620"/>
          <w:sz w:val="22"/>
        </w:rPr>
        <w:t>Через коннектор найдены судебные акты-первоисточники, из которых обзор обобщил позиции. Линии преемственности по ключевым блокам:</w:t>
      </w:r>
    </w:p>
    <w:p>
      <w:pPr>
        <w:spacing w:after="100" w:before="0" w:line="283" w:lineRule="auto"/>
        <w:ind w:left="227"/>
        <w:jc w:val="both"/>
      </w:pPr>
      <w:r>
        <w:rPr>
          <w:rFonts w:ascii="Arial" w:hAnsi="Arial" w:cs="Arial"/>
          <w:b/>
          <w:i w:val="0"/>
          <w:color w:val="33312E"/>
          <w:sz w:val="21"/>
        </w:rPr>
        <w:t xml:space="preserve">Обход спецмер и ничтожность (п. 1, 4, 5, 7, 9). </w:t>
      </w:r>
      <w:hyperlink r:id="rId16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Определение СКЭС № 307-ЭС24-18161 (2025)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 xml:space="preserve">, </w:t>
      </w:r>
      <w:hyperlink r:id="rId11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Пленум ВС РФ № 25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 xml:space="preserve">, </w:t>
      </w:r>
      <w:hyperlink r:id="rId19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Пленум ВС РФ № 12 (кассация)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>.</w:t>
      </w:r>
    </w:p>
    <w:p>
      <w:pPr>
        <w:spacing w:after="100" w:before="0" w:line="283" w:lineRule="auto"/>
        <w:ind w:left="227"/>
        <w:jc w:val="both"/>
      </w:pPr>
      <w:r>
        <w:rPr>
          <w:rFonts w:ascii="Arial" w:hAnsi="Arial" w:cs="Arial"/>
          <w:b/>
          <w:i w:val="0"/>
          <w:color w:val="33312E"/>
          <w:sz w:val="21"/>
        </w:rPr>
        <w:t xml:space="preserve">Компетенция и антиисковые запреты (п. 15–18, 21). </w:t>
      </w:r>
      <w:hyperlink r:id="rId30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Определение КС РФ № 2615-О (2025)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 xml:space="preserve">, </w:t>
      </w:r>
      <w:hyperlink r:id="rId32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Определение СКЭС № 309-ЭС21-6955 (2021)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 xml:space="preserve">, </w:t>
      </w:r>
      <w:hyperlink r:id="rId34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Определение СКЭС № 305-ЭС24-13398 (2024)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 xml:space="preserve">, </w:t>
      </w:r>
      <w:hyperlink r:id="rId36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Определение СКЭС № 302-ЭС22-16135 (2022)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 xml:space="preserve">, </w:t>
      </w:r>
      <w:hyperlink r:id="rId37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Пленум ВС РФ № 23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>.</w:t>
      </w:r>
    </w:p>
    <w:p>
      <w:pPr>
        <w:spacing w:after="100" w:before="0" w:line="283" w:lineRule="auto"/>
        <w:ind w:left="227"/>
        <w:jc w:val="both"/>
      </w:pPr>
      <w:r>
        <w:rPr>
          <w:rFonts w:ascii="Arial" w:hAnsi="Arial" w:cs="Arial"/>
          <w:b/>
          <w:i w:val="0"/>
          <w:color w:val="33312E"/>
          <w:sz w:val="21"/>
        </w:rPr>
        <w:t xml:space="preserve">Освобождение от ответственности при санкциях (п. 13, 14). </w:t>
      </w:r>
      <w:hyperlink r:id="rId26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Пленум ВС РФ № 7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 xml:space="preserve">, </w:t>
      </w:r>
      <w:hyperlink r:id="rId27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Пленум ВС РФ № 6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>.</w:t>
      </w:r>
    </w:p>
    <w:p>
      <w:pPr>
        <w:spacing w:after="100" w:before="0" w:line="283" w:lineRule="auto"/>
        <w:ind w:left="227"/>
        <w:jc w:val="both"/>
      </w:pPr>
      <w:r>
        <w:rPr>
          <w:rFonts w:ascii="Arial" w:hAnsi="Arial" w:cs="Arial"/>
          <w:b/>
          <w:i w:val="0"/>
          <w:color w:val="33312E"/>
          <w:sz w:val="21"/>
        </w:rPr>
        <w:t xml:space="preserve">Публичный порядок при признании иностранных решений (п. 19, 20). </w:t>
      </w:r>
      <w:hyperlink r:id="rId41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Постановление КС РФ № 46-П (2023)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 xml:space="preserve">, </w:t>
      </w:r>
      <w:hyperlink r:id="rId40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Определение СКЭС № 304-ЭС24-2799 (2024)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>.</w:t>
      </w:r>
    </w:p>
    <w:p>
      <w:pPr>
        <w:pBdr>
          <w:left w:val="single" w:sz="8" w:space="10" w:color="3C6E91"/>
        </w:pBdr>
        <w:spacing w:after="200" w:before="0" w:line="283" w:lineRule="auto"/>
        <w:ind w:left="170"/>
        <w:jc w:val="both"/>
      </w:pPr>
      <w:r>
        <w:rPr>
          <w:rFonts w:ascii="Arial" w:hAnsi="Arial" w:cs="Arial"/>
          <w:b w:val="0"/>
          <w:i w:val="0"/>
          <w:color w:val="6E6354"/>
          <w:sz w:val="20"/>
        </w:rPr>
        <w:t>По ряду пунктов (2, 3, 6, 8, 10, 11, 12, 22) обзор сформулирован на уровне норм указов и законов без обособленного судебного акта-первоисточника в базе коннектора; в таких случаях поле источников оставлено пустым, ссылки не достраиваются.</w:t>
      </w:r>
    </w:p>
    <w:p>
      <w:pPr>
        <w:spacing w:after="120" w:before="280" w:line="283" w:lineRule="auto"/>
        <w:jc w:val="both"/>
      </w:pPr>
      <w:r>
        <w:rPr>
          <w:rFonts w:ascii="Arial" w:hAnsi="Arial" w:cs="Arial"/>
          <w:b/>
          <w:i w:val="0"/>
          <w:color w:val="33312E"/>
          <w:sz w:val="21"/>
        </w:rPr>
        <w:t xml:space="preserve">Полный каталог применяющей практики. </w:t>
      </w:r>
      <w:r>
        <w:rPr>
          <w:rFonts w:ascii="Arial" w:hAnsi="Arial" w:cs="Arial"/>
          <w:b w:val="0"/>
          <w:i w:val="0"/>
          <w:color w:val="6E6354"/>
          <w:sz w:val="21"/>
        </w:rPr>
        <w:t xml:space="preserve">Все 12 актов-первоисточников собраны в один интерактивный каталог CasusLegal с активными ссылками на полный текст и выгрузкой в Markdown и DOCX: </w:t>
      </w:r>
      <w:hyperlink r:id="rId44">
        <w:r>
          <w:rPr>
            <w:rFonts w:ascii="Arial" w:hAnsi="Arial" w:cs="Arial"/>
            <w:color w:val="3C6E91"/>
            <w:u w:val="single"/>
            <w:b/>
            <w:sz w:val="21"/>
            <w:szCs w:val="21"/>
          </w:rPr>
          <w:t xml:space="preserve">Открыть интерактивный каталог</w:t>
        </w:r>
      </w:hyperlink>
      <w:r>
        <w:rPr>
          <w:rFonts w:ascii="Arial" w:hAnsi="Arial" w:cs="Arial"/>
          <w:b w:val="0"/>
          <w:i w:val="0"/>
          <w:color w:val="6E6354"/>
          <w:sz w:val="21"/>
        </w:rPr>
        <w:t>.</w:t>
      </w:r>
    </w:p>
    <w:p>
      <w:pPr>
        <w:pBdr>
          <w:top w:val="single" w:sz="6" w:space="6" w:color="E6DAC6"/>
        </w:pBdr>
        <w:spacing w:after="0" w:before="240" w:line="283" w:lineRule="auto"/>
        <w:jc w:val="center"/>
      </w:pPr>
      <w:r>
        <w:rPr>
          <w:rFonts w:ascii="Arial" w:hAnsi="Arial" w:cs="Arial"/>
          <w:b w:val="0"/>
          <w:i w:val="0"/>
          <w:color w:val="A89C88"/>
          <w:sz w:val="18"/>
        </w:rPr>
        <w:t xml:space="preserve">CasusLegal · судебная практика высших судов без вымысла · </w:t>
      </w:r>
      <w:hyperlink r:id="rId45">
        <w:r>
          <w:rPr>
            <w:rFonts w:ascii="Arial" w:hAnsi="Arial" w:cs="Arial"/>
            <w:color w:val="3C6E91"/>
            <w:u w:val="single"/>
            <w:b/>
            <w:sz w:val="18"/>
            <w:szCs w:val="18"/>
          </w:rPr>
          <w:t xml:space="preserve">casus.legal</w:t>
        </w:r>
      </w:hyperlink>
    </w:p>
    <w:sectPr w:rsidR="00FC693F" w:rsidRPr="0006063C" w:rsidSect="00034616"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pp.casus.legal/case/37548?t=Mzc1NDg.4b3MYQWtJBVjY930PxoO3dIFpt0" TargetMode="External"/><Relationship Id="rId10" Type="http://schemas.openxmlformats.org/officeDocument/2006/relationships/hyperlink" Target="https://app.casus.legal/case/37549?t=Mzc1NDk.ObjmsVK-OIVxv0f1201Pze-Ehoc" TargetMode="External"/><Relationship Id="rId11" Type="http://schemas.openxmlformats.org/officeDocument/2006/relationships/hyperlink" Target="https://app.casus.legal/case/34707?t=MzQ3MDc.q363nLb6L5OY95-1yotTVKvG2mo" TargetMode="External"/><Relationship Id="rId12" Type="http://schemas.openxmlformats.org/officeDocument/2006/relationships/hyperlink" Target="https://app.casus.legal/case/37550?t=Mzc1NTA.J_Ax31qkdYhLS6ZiJDY_1eIU5RU" TargetMode="External"/><Relationship Id="rId13" Type="http://schemas.openxmlformats.org/officeDocument/2006/relationships/hyperlink" Target="https://app.casus.legal/case/37551?t=Mzc1NTE.SasD1vgKTK23ElDP9VfGeK6U_n8" TargetMode="External"/><Relationship Id="rId14" Type="http://schemas.openxmlformats.org/officeDocument/2006/relationships/hyperlink" Target="https://app.casus.legal/case/37552?t=Mzc1NTI.ZYxKPgsiBffX6QaSySXVUH4IgGc" TargetMode="External"/><Relationship Id="rId15" Type="http://schemas.openxmlformats.org/officeDocument/2006/relationships/hyperlink" Target="https://app.casus.legal/case/37553?t=Mzc1NTM.A8WOFnXSV0wRWfkZZ2rodzm9hZY" TargetMode="External"/><Relationship Id="rId16" Type="http://schemas.openxmlformats.org/officeDocument/2006/relationships/hyperlink" Target="https://app.casus.legal/case/34021?t=MzQwMjE.0itjM-8TpaTSbjGLcqH5IJ3rnEs" TargetMode="External"/><Relationship Id="rId17" Type="http://schemas.openxmlformats.org/officeDocument/2006/relationships/hyperlink" Target="https://app.casus.legal/case/37554?t=Mzc1NTQ.zvufPHLSXGrnEIfl8wtSK8yHmLQ" TargetMode="External"/><Relationship Id="rId18" Type="http://schemas.openxmlformats.org/officeDocument/2006/relationships/hyperlink" Target="https://app.casus.legal/case/37555?t=Mzc1NTU.hdNNaM0vx9Q3XjURrhkFKvBfFMU" TargetMode="External"/><Relationship Id="rId19" Type="http://schemas.openxmlformats.org/officeDocument/2006/relationships/hyperlink" Target="https://app.casus.legal/case/34645?t=MzQ2NDU.GMfJbTAKhu2Z7W70VtM4K9e3fvY" TargetMode="External"/><Relationship Id="rId20" Type="http://schemas.openxmlformats.org/officeDocument/2006/relationships/hyperlink" Target="https://app.casus.legal/case/37556?t=Mzc1NTY.7TP8fjEKxG2OoeHnFPMhcXPgUKM" TargetMode="External"/><Relationship Id="rId21" Type="http://schemas.openxmlformats.org/officeDocument/2006/relationships/hyperlink" Target="https://app.casus.legal/case/37557?t=Mzc1NTc.0zD6SncC-2OGWaA3WxhRUn61nPc" TargetMode="External"/><Relationship Id="rId22" Type="http://schemas.openxmlformats.org/officeDocument/2006/relationships/hyperlink" Target="https://app.casus.legal/case/37558?t=Mzc1NTg.3PjVZYZ8thW2kyqXRSOMEkrRevs" TargetMode="External"/><Relationship Id="rId23" Type="http://schemas.openxmlformats.org/officeDocument/2006/relationships/hyperlink" Target="https://app.casus.legal/case/37559?t=Mzc1NTk.-MhKmGIe5C_pSyzGbqjAahlH8yQ" TargetMode="External"/><Relationship Id="rId24" Type="http://schemas.openxmlformats.org/officeDocument/2006/relationships/hyperlink" Target="https://app.casus.legal/case/37560?t=Mzc1NjA.QZv_i8KBBJpm4iJ4mzLqJmEQ-xM" TargetMode="External"/><Relationship Id="rId25" Type="http://schemas.openxmlformats.org/officeDocument/2006/relationships/hyperlink" Target="https://app.casus.legal/case/37561?t=Mzc1NjE.QEuArVc6DR-MAlC4k7e-GhOzQsw" TargetMode="External"/><Relationship Id="rId26" Type="http://schemas.openxmlformats.org/officeDocument/2006/relationships/hyperlink" Target="https://app.casus.legal/case/34634?t=MzQ2MzQ.LRjQ_5ljrjNntUyOqnCqg7qL0wY" TargetMode="External"/><Relationship Id="rId27" Type="http://schemas.openxmlformats.org/officeDocument/2006/relationships/hyperlink" Target="https://app.casus.legal/case/34647?t=MzQ2NDc.ryJ4LtcAhxJSgbWcOuNAOfS3veE" TargetMode="External"/><Relationship Id="rId28" Type="http://schemas.openxmlformats.org/officeDocument/2006/relationships/hyperlink" Target="https://app.casus.legal/case/37562?t=Mzc1NjI.hoEQMwiK6d8tZA36ckmuJJu7BdM" TargetMode="External"/><Relationship Id="rId29" Type="http://schemas.openxmlformats.org/officeDocument/2006/relationships/hyperlink" Target="https://app.casus.legal/case/37563?t=Mzc1NjM.MZy_E6NqIIxtqIz_PsuzCUYZ1YE" TargetMode="External"/><Relationship Id="rId30" Type="http://schemas.openxmlformats.org/officeDocument/2006/relationships/hyperlink" Target="https://app.casus.legal/case/11041?t=MTEwNDE.JN8sgMTPuaV-soyO3_k-XTfdrS8" TargetMode="External"/><Relationship Id="rId31" Type="http://schemas.openxmlformats.org/officeDocument/2006/relationships/hyperlink" Target="https://app.casus.legal/case/37564?t=Mzc1NjQ.-Tl5m2HpjNFByFrt1oXdZ75w6Z4" TargetMode="External"/><Relationship Id="rId32" Type="http://schemas.openxmlformats.org/officeDocument/2006/relationships/hyperlink" Target="https://app.casus.legal/case/31883?t=MzE4ODM.nqBcZ0s6qzAU9Rzu85OVN7CLacQ" TargetMode="External"/><Relationship Id="rId33" Type="http://schemas.openxmlformats.org/officeDocument/2006/relationships/hyperlink" Target="https://app.casus.legal/case/37565?t=Mzc1NjU.5gcrMHktS3-eh0EtlGAvfYmKXTk" TargetMode="External"/><Relationship Id="rId34" Type="http://schemas.openxmlformats.org/officeDocument/2006/relationships/hyperlink" Target="https://app.casus.legal/case/34093?t=MzQwOTM.Crc9kQ4Gj7PB56MMlRHWMajqRmE" TargetMode="External"/><Relationship Id="rId35" Type="http://schemas.openxmlformats.org/officeDocument/2006/relationships/hyperlink" Target="https://app.casus.legal/case/37566?t=Mzc1NjY.PV45TzGYtwfGjTLxiux88xapIf0" TargetMode="External"/><Relationship Id="rId36" Type="http://schemas.openxmlformats.org/officeDocument/2006/relationships/hyperlink" Target="https://app.casus.legal/case/33257?t=MzMyNTc.u1KCj9mYh7N9iYumfq3Y9IMNn_s" TargetMode="External"/><Relationship Id="rId37" Type="http://schemas.openxmlformats.org/officeDocument/2006/relationships/hyperlink" Target="https://app.casus.legal/case/34689?t=MzQ2ODk.vK4O69MuluSi44bXvnYzMZzF0Cw" TargetMode="External"/><Relationship Id="rId38" Type="http://schemas.openxmlformats.org/officeDocument/2006/relationships/hyperlink" Target="https://app.casus.legal/case/37569?t=Mzc1Njk.vdgSZmFk4LqE7lzk-q99nrYDhmQ" TargetMode="External"/><Relationship Id="rId39" Type="http://schemas.openxmlformats.org/officeDocument/2006/relationships/hyperlink" Target="https://app.casus.legal/case/37567?t=Mzc1Njc.u4X4p44DOCAbdKRHpywjiSP79v0" TargetMode="External"/><Relationship Id="rId40" Type="http://schemas.openxmlformats.org/officeDocument/2006/relationships/hyperlink" Target="https://app.casus.legal/case/34247?t=MzQyNDc.Y07LwSI5g8axir4Ip86FgfZdoiU" TargetMode="External"/><Relationship Id="rId41" Type="http://schemas.openxmlformats.org/officeDocument/2006/relationships/hyperlink" Target="https://app.casus.legal/case/10125?t=MTAxMjU.V2rmyzjmhzk5aI98uuv97qepOXo" TargetMode="External"/><Relationship Id="rId42" Type="http://schemas.openxmlformats.org/officeDocument/2006/relationships/hyperlink" Target="https://app.casus.legal/case/37568?t=Mzc1Njg.TcUQFW4FiXtlAhOulqJ-zE3hG4g" TargetMode="External"/><Relationship Id="rId43" Type="http://schemas.openxmlformats.org/officeDocument/2006/relationships/hyperlink" Target="https://app.casus.legal/case/37570?t=Mzc1NzA.dtAnYB3Z979A6FociS1CHyPDaKk" TargetMode="External"/><Relationship Id="rId44" Type="http://schemas.openxmlformats.org/officeDocument/2006/relationships/hyperlink" Target="https://app.casus.legal/export/_2Zrf1mQRfE2MSOu0eSKaQ" TargetMode="External"/><Relationship Id="rId45" Type="http://schemas.openxmlformats.org/officeDocument/2006/relationships/hyperlink" Target="https://www.casus.leg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